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customXml/itemProps1.xml" ContentType="application/vnd.openxmlformats-officedocument.customXmlProperties+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14:paraId="124B4854">
      <w:pPr>
        <w:pStyle w:val="style0"/>
        <w:pBdr>
          <w:bottom w:val="single" w:sz="10" w:space="6" w:color="4a86c5"/>
        </w:pBdr>
        <w:spacing w:before="200" w:after="240" w:lineRule="auto" w:line="276"/>
        <w:ind w:firstLine="0"/>
        <w:jc w:val="center"/>
        <w:rPr/>
      </w:pPr>
      <w:r>
        <w:rPr>
          <w:rFonts w:ascii="Times New Roman" w:eastAsia="Times New Roman" w:hAnsi="Times New Roman"/>
          <w:b/>
          <w:color w:val="1f3f70"/>
          <w:sz w:val="34"/>
        </w:rPr>
        <w:t>Linear reasoning and linear circularity: guarantee and new knowledge</w:t>
      </w:r>
    </w:p>
    <w:p w14:paraId="80BDE49F">
      <w:pPr>
        <w:pStyle w:val="style0"/>
        <w:spacing w:before="280" w:after="120" w:lineRule="auto" w:line="276"/>
        <w:ind w:firstLine="0"/>
        <w:jc w:val="left"/>
        <w:rPr/>
      </w:pPr>
      <w:r>
        <w:rPr>
          <w:rFonts w:ascii="Times New Roman" w:eastAsia="Times New Roman" w:hAnsi="Times New Roman"/>
          <w:b/>
          <w:sz w:val="28"/>
        </w:rPr>
        <w:t>Abstract</w:t>
      </w:r>
    </w:p>
    <w:p w14:paraId="5C857728">
      <w:pPr>
        <w:pStyle w:val="style0"/>
        <w:spacing w:before="0" w:after="0" w:lineRule="auto" w:line="276"/>
        <w:ind w:firstLine="576"/>
        <w:rPr>
          <w:rFonts w:ascii="Times New Roman" w:eastAsia="Times New Roman" w:hAnsi="Times New Roman"/>
          <w:sz w:val="24"/>
        </w:rPr>
      </w:pPr>
      <w:r>
        <w:rPr>
          <w:rFonts w:ascii="Times New Roman" w:eastAsia="Times New Roman" w:hAnsi="Times New Roman"/>
          <w:sz w:val="24"/>
        </w:rPr>
        <w:t>Abstract</w:t>
      </w:r>
    </w:p>
    <w:p w14:paraId="ED4076DC">
      <w:pPr>
        <w:pStyle w:val="style0"/>
        <w:spacing w:before="0" w:after="0" w:lineRule="auto" w:line="276"/>
        <w:ind w:firstLine="576"/>
        <w:rPr>
          <w:rFonts w:ascii="Times New Roman" w:eastAsia="Times New Roman" w:hAnsi="Times New Roman"/>
          <w:sz w:val="24"/>
        </w:rPr>
      </w:pPr>
      <w:r>
        <w:rPr>
          <w:rFonts w:ascii="Times New Roman" w:eastAsia="Times New Roman" w:hAnsi="Times New Roman"/>
          <w:sz w:val="24"/>
        </w:rPr>
        <w:t>This paper offers a structural analysis of a broad form of linear reasoning. It argues that linear reasoning should not be understood simply as valid inferential succession, but as a linear circularity: a process that begins from a prior guarantee, handles only what has first been rendered admissible to its own mode of operation, and returns its result to the same field of guarantee for recognition. In this sense, its problem is not merely that it is conservative, but that it cannot, by its own operation alone, produce what exceeds the range of what its premises, guarantees, and governing rules already permit it to process.</w:t>
      </w:r>
    </w:p>
    <w:p w14:paraId="F90AAF85">
      <w:pPr>
        <w:pStyle w:val="style0"/>
        <w:spacing w:before="0" w:after="0" w:lineRule="auto" w:line="276"/>
        <w:ind w:firstLine="576"/>
        <w:rPr/>
      </w:pPr>
      <w:r>
        <w:rPr>
          <w:rFonts w:ascii="Times New Roman" w:eastAsia="Times New Roman" w:hAnsi="Times New Roman"/>
          <w:sz w:val="24"/>
        </w:rPr>
        <w:t>On this basis, the paper reinterprets empiricism and rationalism as two forms of the same wider structure. Empiricism proceeds by judgment on experience already mediated into admissible fact-like content, whereas rationalism proceeds by derivation from premises already rendered admissible to rule-governed treatment. Skepticism and Hegelian dialectic are then examined as two different exposures of the limits internal to these forms. The paper concludes that the deeper structure of linear reasoning is not simply premise, inference, and conclusion, but a cycle running from guarantee, through guaranteed processing, and back to guarantee.</w:t>
      </w:r>
    </w:p>
    <w:p w14:paraId="90FA00F6">
      <w:pPr>
        <w:pStyle w:val="style0"/>
        <w:spacing w:before="80" w:after="200" w:lineRule="auto" w:line="276"/>
        <w:ind w:firstLine="0"/>
        <w:jc w:val="left"/>
        <w:rPr/>
      </w:pPr>
      <w:r>
        <w:rPr>
          <w:rFonts w:ascii="Times New Roman" w:eastAsia="Times New Roman" w:hAnsi="Times New Roman"/>
          <w:i/>
          <w:sz w:val="24"/>
        </w:rPr>
        <w:t>Keywords: meta-philosophy, guarantee, admissibility, epistemic legitimacy, rationalism, empiricism</w:t>
      </w:r>
    </w:p>
    <w:p w14:paraId="A27CCCF1">
      <w:pPr>
        <w:pStyle w:val="style0"/>
        <w:spacing w:before="280" w:after="120"/>
        <w:ind w:firstLine="0"/>
        <w:jc w:val="left"/>
        <w:rPr/>
      </w:pPr>
      <w:r>
        <w:rPr>
          <w:rFonts w:ascii="Times New Roman" w:eastAsia="Times New Roman" w:hAnsi="Times New Roman"/>
          <w:b/>
          <w:color w:val="2f67b2"/>
          <w:sz w:val="28"/>
        </w:rPr>
        <w:t>Introduction</w:t>
      </w:r>
    </w:p>
    <w:p w14:paraId="882CED4C">
      <w:pPr>
        <w:pStyle w:val="style0"/>
        <w:spacing w:before="0" w:after="0" w:lineRule="auto" w:line="276"/>
        <w:ind w:firstLine="576"/>
        <w:rPr/>
      </w:pPr>
      <w:r>
        <w:rPr>
          <w:rFonts w:ascii="Times New Roman" w:eastAsia="Times New Roman" w:hAnsi="Times New Roman"/>
          <w:sz w:val="24"/>
        </w:rPr>
        <w:t>Modern philosophy is often presented through familiar oppositions: empiricism and rationalism, observation and concept, experience and form, judgment and derivation. These distinctions are real and often fruitful. Yet they can also conceal a prior question that is not itself exhausted by any one side of the opposition. Before thought can judge, infer, derive, criticize, or systematize, something must already have been admitted as a legitimate beginning; something must already have been rendered processable; and some mode of return must already be available so that a result can count as acceptable. The concern of this paper is therefore not primarily with doctrinal disagreement at the level of explicit content, but with the structural conditions under which a mode of thought can count as operating legitimately at all.</w:t>
      </w:r>
    </w:p>
    <w:p w14:paraId="8686BF56">
      <w:pPr>
        <w:pStyle w:val="style0"/>
        <w:spacing w:before="0" w:after="0" w:lineRule="auto" w:line="276"/>
        <w:ind w:firstLine="576"/>
        <w:rPr/>
      </w:pPr>
      <w:r>
        <w:rPr>
          <w:rFonts w:ascii="Times New Roman" w:eastAsia="Times New Roman" w:hAnsi="Times New Roman"/>
          <w:sz w:val="24"/>
        </w:rPr>
        <w:t>The term linear reasoning is used here as a diagnostic category rather than as a reconstruction of any single historical tradition. It names a broad family of practices in which thought proceeds by stepwise movement from what has already been secured to what can be accepted as following from it. This broad sense includes explicit philosophical systems, but it is not restricted to them. It also includes less formal patterns of thought wherever a process begins from what is already treated as settled, handles only what has first been rendered admissible to that process, and returns its result for recognition within the same field of legitimacy. In this sense, linear reasoning is not merely a method among methods. It is a wider structure of epistemic management.</w:t>
      </w:r>
    </w:p>
    <w:p w14:paraId="EDD49313">
      <w:pPr>
        <w:pStyle w:val="style0"/>
        <w:spacing w:before="0" w:after="0" w:lineRule="auto" w:line="276"/>
        <w:ind w:firstLine="576"/>
        <w:rPr/>
      </w:pPr>
      <w:r>
        <w:rPr>
          <w:rFonts w:ascii="Times New Roman" w:eastAsia="Times New Roman" w:hAnsi="Times New Roman"/>
          <w:sz w:val="24"/>
        </w:rPr>
        <w:t>The central claim of this paper is that a broad range of linear reasoning is better understood as a linear circularity. This claim does not mean that linear reasoning is simply a case of circular argument. Circular argument concerns a content-level defect in which a conclusion depends, directly or indirectly, on what it is supposed to establish. The phenomenon at issue here is different. A process may be linear in appearance, moving step by step from one point to another, and yet remain circular in a deeper structural sense if its beginning, transitions, and results all remain confined within the same field of guarantee and recognition. The point is not that the process fails to move. The point is that its movement remains bounded by the same authorizing order throughout.</w:t>
      </w:r>
    </w:p>
    <w:p w14:paraId="FA9C45EE">
      <w:pPr>
        <w:pStyle w:val="style0"/>
        <w:spacing w:before="0" w:after="0" w:lineRule="auto" w:line="276"/>
        <w:ind w:firstLine="576"/>
        <w:rPr/>
      </w:pPr>
      <w:r>
        <w:rPr>
          <w:rFonts w:ascii="Times New Roman" w:eastAsia="Times New Roman" w:hAnsi="Times New Roman"/>
          <w:sz w:val="24"/>
        </w:rPr>
        <w:t>The paper therefore analyzes linear reasoning not primarily at the level of formal validity or content-level disagreement, but at the level of epistemic admissibility. What matters here is how a beginning is authorized, how something becomes processable, how a transition counts as legitimate, and how a result becomes recognizable as acceptable. On this level, thought does not begin by handling reality, experience, or premises simply as they are. It first transforms them into objects admissible to its own mode of operation. It then processes only such admissible objects, and finally returns the result as something once again recognized and secured within the same field of guarantee.</w:t>
      </w:r>
    </w:p>
    <w:p w14:paraId="2638EC95">
      <w:pPr>
        <w:pStyle w:val="style0"/>
        <w:spacing w:before="0" w:after="0" w:lineRule="auto" w:line="276"/>
        <w:ind w:firstLine="576"/>
        <w:rPr/>
      </w:pPr>
      <w:r>
        <w:rPr>
          <w:rFonts w:ascii="Times New Roman" w:eastAsia="Times New Roman" w:hAnsi="Times New Roman"/>
          <w:sz w:val="24"/>
        </w:rPr>
        <w:t>Once the issue is posed in this way, the limit of linear reasoning becomes sharper. The problem is not that linear reasoning produces nothing. It plainly produces results. It can derive, organize, compare, classify, and judge. The problem is that its movement is often mistaken for the production of what exceeds the field that first authorizes it. Yet if linear reasoning appears to yield something beyond its premise, then either the premise has been silently expanded, or the process has ceased to be purely linear. Linear reasoning can process what is already admissible. It cannot, by its own operation alone, generate what first exceeds the order that makes its processing possible.</w:t>
      </w:r>
    </w:p>
    <w:p w14:paraId="252FD144">
      <w:pPr>
        <w:pStyle w:val="style0"/>
        <w:spacing w:before="0" w:after="0" w:lineRule="auto" w:line="276"/>
        <w:ind w:firstLine="576"/>
        <w:rPr/>
      </w:pPr>
      <w:r>
        <w:rPr>
          <w:rFonts w:ascii="Times New Roman" w:eastAsia="Times New Roman" w:hAnsi="Times New Roman"/>
          <w:sz w:val="24"/>
        </w:rPr>
        <w:t>This framework allows empiricism and rationalism to be reconsidered in a different way. Rationalism is not defined here simply by its appeal to reason, but by its treatment of premises as already admissible to rule-governed derivation. Empiricism is not defined here simply by its appeal to experience, but by its treatment of experience as already mediated into admissible fact-like content for judgment. Their explicit doctrines differ, but both may be understood as forms of a more general structure in which thought depends on prior guarantee, operates through admissible processing, and returns to guarantee for validation.</w:t>
      </w:r>
    </w:p>
    <w:p w14:paraId="C654DE86">
      <w:pPr>
        <w:pStyle w:val="style0"/>
        <w:spacing w:before="0" w:after="0" w:lineRule="auto" w:line="276"/>
        <w:ind w:firstLine="576"/>
        <w:rPr/>
      </w:pPr>
      <w:r>
        <w:rPr>
          <w:rFonts w:ascii="Times New Roman" w:eastAsia="Times New Roman" w:hAnsi="Times New Roman"/>
          <w:sz w:val="24"/>
        </w:rPr>
        <w:t>The broader implication reaches beyond explicit philosophy. Many forms of intellectual closure do not begin at the level of doctrine. They begin earlier, at the level of what is allowed to enter the process at all. A wide range of thinkers, including those who would never describe themselves as empiricists or rationalists, still participate in this same structure wherever they must begin from a prior guarantee, process only what that guarantee permits, and return their results to the same guarantee for recognition. That wider recurrence is what this paper calls linear circularity.</w:t>
      </w:r>
      <w:r>
        <w:rPr>
          <w:rFonts w:ascii="Times New Roman" w:eastAsia="Times New Roman" w:hAnsi="Times New Roman"/>
          <w:sz w:val="24"/>
          <w:vertAlign w:val="superscript"/>
        </w:rPr>
        <w:t>1</w:t>
      </w:r>
    </w:p>
    <w:p w14:paraId="158B6258">
      <w:pPr>
        <w:pStyle w:val="style0"/>
        <w:spacing w:before="0" w:after="0" w:lineRule="auto" w:line="276"/>
        <w:ind w:firstLine="576"/>
        <w:rPr/>
      </w:pPr>
      <w:r>
        <w:rPr>
          <w:rFonts w:ascii="Times New Roman" w:eastAsia="Times New Roman" w:hAnsi="Times New Roman"/>
          <w:sz w:val="24"/>
        </w:rPr>
        <w:t>The argument proceeds in five steps. Section 1 clarifies the broad structural sense in which linear reasoning is understood here and explains why its motion can be linear in appearance while circular in a deeper sense. Section 2 analyzes empiricism as a structure of admissible judgment. Section 3 analyzes rationalism as a structure of admissible derivation. Section 4 examines skepticism and Hegelian dialectic as two exposures of the structural limits internal to these forms. Section 5 isolates guarantee as the organizing axis of linear circularity and explains why closure at the level of content follows from a prior closure at the level of admissibility. The conclusion then draws out the larger meta-philosophical consequence: reasoning should not be rejected, but its self-image must be corrected.</w:t>
      </w:r>
    </w:p>
    <w:p w14:paraId="7869C184">
      <w:pPr>
        <w:pStyle w:val="style0"/>
        <w:spacing w:before="280" w:after="80" w:lineRule="auto" w:line="276"/>
        <w:ind w:firstLine="0"/>
        <w:jc w:val="left"/>
        <w:rPr/>
      </w:pPr>
      <w:r>
        <w:rPr>
          <w:rFonts w:ascii="Times New Roman" w:eastAsia="Times New Roman" w:hAnsi="Times New Roman"/>
          <w:b/>
          <w:color w:val="2f67b2"/>
          <w:sz w:val="26"/>
        </w:rPr>
        <w:t>1. From Linear Reasoning to Linear Circularity</w:t>
      </w:r>
    </w:p>
    <w:p w14:paraId="35F805C4">
      <w:pPr>
        <w:pStyle w:val="style0"/>
        <w:spacing w:before="0" w:after="0" w:lineRule="auto" w:line="276"/>
        <w:ind w:firstLine="576"/>
        <w:rPr/>
      </w:pPr>
      <w:r>
        <w:rPr>
          <w:rFonts w:ascii="Times New Roman" w:eastAsia="Times New Roman" w:hAnsi="Times New Roman"/>
          <w:b/>
          <w:sz w:val="24"/>
        </w:rPr>
        <w:t>1.1 A Broad Structural Sense of Linear Reasoning</w:t>
      </w:r>
    </w:p>
    <w:p w14:paraId="7CC1454F">
      <w:pPr>
        <w:pStyle w:val="style0"/>
        <w:spacing w:before="0" w:after="0" w:lineRule="auto" w:line="276"/>
        <w:ind w:firstLine="576"/>
        <w:rPr/>
      </w:pPr>
      <w:r>
        <w:rPr>
          <w:rFonts w:ascii="Times New Roman" w:eastAsia="Times New Roman" w:hAnsi="Times New Roman"/>
          <w:sz w:val="24"/>
        </w:rPr>
        <w:t>In what follows, linear reasoning is used in a broad structural sense. It does not refer only to formally explicit inference, nor only to technical philosophy. It refers more generally to any mode of thought whose movement depends on a prior guarantee, proceeds by rule-governed or otherwise permitted processing, and treats its result as acceptable only insofar as it can return to an already authorized field. A logical proof is one example, but not the only one. Empirical judgment, methodological filtering, everyday practical reasoning, and habitual interpretive routines may all instantiate the same structure when they rely on what has already been secured, process only what has become admissible to that processing, and return their results to the same order for recognition.</w:t>
      </w:r>
    </w:p>
    <w:p w14:paraId="DF81E4E0">
      <w:pPr>
        <w:pStyle w:val="style0"/>
        <w:spacing w:before="0" w:after="0" w:lineRule="auto" w:line="276"/>
        <w:ind w:firstLine="576"/>
        <w:rPr/>
      </w:pPr>
      <w:r>
        <w:rPr>
          <w:rFonts w:ascii="Times New Roman" w:eastAsia="Times New Roman" w:hAnsi="Times New Roman"/>
          <w:sz w:val="24"/>
        </w:rPr>
        <w:t>This broader sense matters because many disputes in philosophy take place at the level of what a given structure handles, while leaving underexamined the prior question of how something became handleable in the first place. A beginning functions as a beginning only because it has already been granted some authority. A rule functions as a rule only because it has already been admitted as legitimate. A result functions as a result only because there is already a field in which it can count as recognizable and acceptable. The common self-description of linear reasoning focuses on its visible sequence, but not on the preconditions that make the sequence possible.</w:t>
      </w:r>
    </w:p>
    <w:p w14:paraId="CBDD6F1C">
      <w:pPr>
        <w:pStyle w:val="style0"/>
        <w:spacing w:before="0" w:after="0" w:lineRule="auto" w:line="276"/>
        <w:ind w:firstLine="576"/>
        <w:rPr/>
      </w:pPr>
      <w:r>
        <w:rPr>
          <w:rFonts w:ascii="Times New Roman" w:eastAsia="Times New Roman" w:hAnsi="Times New Roman"/>
          <w:sz w:val="24"/>
        </w:rPr>
        <w:t>For this reason, the present paper does not begin by asking which contents are true and which are false. It begins by asking what kind of structure must already be in place before contents can enter into a process of judgment or derivation at all. The answer advanced here is that such structures depend on prior guarantee. Guarantee secures admissibility, governs processing, and enables return. Once this is recognized, linear reasoning can no longer be understood simply as a neutral line from premise to conclusion. It must also be understood as a bounded structure of authorization.</w:t>
      </w:r>
    </w:p>
    <w:p w14:paraId="EBB9BD76">
      <w:pPr>
        <w:pStyle w:val="style0"/>
        <w:spacing w:before="0" w:after="0" w:lineRule="auto" w:line="276"/>
        <w:ind w:firstLine="576"/>
        <w:rPr/>
      </w:pPr>
      <w:r>
        <w:rPr>
          <w:rFonts w:ascii="Times New Roman" w:eastAsia="Times New Roman" w:hAnsi="Times New Roman"/>
          <w:b/>
          <w:sz w:val="24"/>
        </w:rPr>
        <w:t>1.2 Why the Structure Is Circular</w:t>
      </w:r>
    </w:p>
    <w:p w14:paraId="F9F76563">
      <w:pPr>
        <w:pStyle w:val="style0"/>
        <w:spacing w:before="0" w:after="0" w:lineRule="auto" w:line="276"/>
        <w:ind w:firstLine="576"/>
        <w:rPr/>
      </w:pPr>
      <w:r>
        <w:rPr>
          <w:rFonts w:ascii="Times New Roman" w:eastAsia="Times New Roman" w:hAnsi="Times New Roman"/>
          <w:sz w:val="24"/>
        </w:rPr>
        <w:t>The circularity at issue here is not a formal defect at the level of proof. It lies in the structure of admissibility itself. A process is circular in this sense when it begins only from what is already guaranteed, handles only what has first been rendered processable within that guarantee, and accepts a result only when it can return to that same field as something recognizable and permitted. The process may advance step by step. It may produce distinctions, explanations, arguments, or judgments. Yet the field that authorizes its beginning is also the field that governs its movement and receives its end.</w:t>
      </w:r>
    </w:p>
    <w:p w14:paraId="B3A0028D">
      <w:pPr>
        <w:pStyle w:val="style0"/>
        <w:spacing w:before="0" w:after="0" w:lineRule="auto" w:line="276"/>
        <w:ind w:firstLine="576"/>
        <w:rPr/>
      </w:pPr>
      <w:r>
        <w:rPr>
          <w:rFonts w:ascii="Times New Roman" w:eastAsia="Times New Roman" w:hAnsi="Times New Roman"/>
          <w:sz w:val="24"/>
        </w:rPr>
        <w:t>This is why the circularity of linear reasoning is deeper than the charge of obvious question-begging. It is not that the conclusion is merely smuggled into the premise as content. It is that the process cannot escape the order that first legitimates it. What appears as progress is therefore also a return. The beginning is guaranteed, the transitions are guaranteed, and the result is accepted only insofar as it can be brought back under the same guarantee. The process is linear in its visible movement, but circular in its structure of authorization.</w:t>
      </w:r>
    </w:p>
    <w:p w14:paraId="32B32FBB">
      <w:pPr>
        <w:pStyle w:val="style0"/>
        <w:spacing w:before="0" w:after="0" w:lineRule="auto" w:line="276"/>
        <w:ind w:firstLine="576"/>
        <w:rPr/>
      </w:pPr>
      <w:r>
        <w:rPr>
          <w:rFonts w:ascii="Times New Roman" w:eastAsia="Times New Roman" w:hAnsi="Times New Roman"/>
          <w:sz w:val="24"/>
        </w:rPr>
        <w:t>Once seen at this level, the distinction between content-level and structure-level circularity becomes decisive. Content-level circularity concerns support relations among propositions. Structure-level circularity concerns the bounded field within which support, judgment, and derivation are allowed to count in the first place. The argument of this paper concerns the second sense. It is precisely because the structure of admissibility is circular that content-level movement often remains bounded by what the field has already licensed.</w:t>
      </w:r>
    </w:p>
    <w:p w14:paraId="6A91952A">
      <w:pPr>
        <w:pStyle w:val="style0"/>
        <w:spacing w:before="0" w:after="0" w:lineRule="auto" w:line="276"/>
        <w:ind w:firstLine="576"/>
        <w:rPr/>
      </w:pPr>
      <w:r>
        <w:rPr>
          <w:rFonts w:ascii="Times New Roman" w:eastAsia="Times New Roman" w:hAnsi="Times New Roman"/>
          <w:b/>
          <w:sz w:val="24"/>
        </w:rPr>
        <w:t>1.3 Why This Matters for the Production of New Knowledge</w:t>
      </w:r>
    </w:p>
    <w:p w14:paraId="A6DA7DD3">
      <w:pPr>
        <w:pStyle w:val="style0"/>
        <w:spacing w:before="0" w:after="0" w:lineRule="auto" w:line="276"/>
        <w:ind w:firstLine="576"/>
        <w:rPr/>
      </w:pPr>
      <w:r>
        <w:rPr>
          <w:rFonts w:ascii="Times New Roman" w:eastAsia="Times New Roman" w:hAnsi="Times New Roman"/>
          <w:sz w:val="24"/>
        </w:rPr>
        <w:t>The importance of this distinction becomes clearest when we ask what linear reasoning can and cannot do. It can process what has already been rendered admissible. It can refine a distinction, organize a field, unfold consequences, compare alternatives, and stabilize conclusions. But if it appears to yield something beyond its premise, then either the premise has been silently expanded, or the process has ceased to be purely linear. A linear process cannot generate what exceeds the field that makes its own processing possible. If it seems to do so, then something else has entered: a redefinition of what counts as the premise, a shift in the rules of treatment, an anomaly that changes salience, or a break that reorders what can count as admissible.</w:t>
      </w:r>
    </w:p>
    <w:p w14:paraId="19165A21">
      <w:pPr>
        <w:pStyle w:val="style0"/>
        <w:spacing w:before="0" w:after="0" w:lineRule="auto" w:line="276"/>
        <w:ind w:firstLine="576"/>
        <w:rPr/>
      </w:pPr>
      <w:r>
        <w:rPr>
          <w:rFonts w:ascii="Times New Roman" w:eastAsia="Times New Roman" w:hAnsi="Times New Roman"/>
          <w:sz w:val="24"/>
        </w:rPr>
        <w:t>This does not mean that epistemic life contains no novelty. It means that linear reasoning is not sufficient to account for novelty in the strong sense. It can codify and stabilize what has appeared. It cannot, by itself alone, explain the first opening of a new field of admissibility. This is why the paper speaks of the limits of new knowledge rather than merely of the weakness of one style of argument. The question is not whether linear reasoning produces results. The question is what kind of results it can produce without tacitly relying on changes that it did not itself generate.</w:t>
      </w:r>
    </w:p>
    <w:p w14:paraId="850D1E3D">
      <w:pPr>
        <w:pStyle w:val="style0"/>
        <w:spacing w:before="0" w:after="0" w:lineRule="auto" w:line="276"/>
        <w:ind w:firstLine="576"/>
        <w:rPr/>
      </w:pPr>
      <w:r>
        <w:rPr>
          <w:rFonts w:ascii="Times New Roman" w:eastAsia="Times New Roman" w:hAnsi="Times New Roman"/>
          <w:sz w:val="24"/>
        </w:rPr>
        <w:t>The distinction also clarifies why linear reasoning tends to overestimate its own scope. Once a new pattern, relation, or field has been admitted, linear reasoning can often reconstruct it retrospectively as though it had always been latent within what preceded it. This retrospective power is real and important. But it can conceal the fact that the field of admissibility itself has changed. What is first opened through anomaly, interruption, accident, imaginative leap, or conceptual displacement is later rendered orderly and redescribed as though it had been there all along. Linear reasoning is therefore strongest at stabilization, not at first opening.</w:t>
      </w:r>
    </w:p>
    <w:p w14:paraId="70BA5C54">
      <w:pPr>
        <w:pStyle w:val="style0"/>
        <w:spacing w:before="0" w:after="0" w:lineRule="auto" w:line="276"/>
        <w:ind w:firstLine="576"/>
        <w:rPr/>
      </w:pPr>
      <w:r>
        <w:rPr>
          <w:rFonts w:ascii="Times New Roman" w:eastAsia="Times New Roman" w:hAnsi="Times New Roman"/>
          <w:b/>
          <w:sz w:val="24"/>
        </w:rPr>
        <w:t>1.4 Structural Symptoms and Illustrations</w:t>
      </w:r>
    </w:p>
    <w:p w14:paraId="CDCA2A40">
      <w:pPr>
        <w:pStyle w:val="style0"/>
        <w:spacing w:before="0" w:after="0" w:lineRule="auto" w:line="276"/>
        <w:ind w:firstLine="576"/>
        <w:rPr/>
      </w:pPr>
      <w:r>
        <w:rPr>
          <w:rFonts w:ascii="Times New Roman" w:eastAsia="Times New Roman" w:hAnsi="Times New Roman"/>
          <w:sz w:val="24"/>
        </w:rPr>
        <w:t>Several familiar phenomena can be reread from this perspective. Skepticism exposes the instability of empiricist beginnings by showing that fact-like content does not automatically guarantee itself. Hegelian dialectic exposes the insufficiency of static formal progression wherever movement, contradiction, and development must be handled. In the history of science, major reconfigurations of a field are rarely generated by linear processing alone. They often begin through anomaly, experimental breakdown, accident, imaginative leap, or a change in salience, and only afterward become available for systematic derivation, judgment, and stabilization.</w:t>
      </w:r>
      <w:r>
        <w:rPr>
          <w:rFonts w:ascii="Times New Roman" w:eastAsia="Times New Roman" w:hAnsi="Times New Roman"/>
          <w:sz w:val="24"/>
          <w:vertAlign w:val="superscript"/>
        </w:rPr>
        <w:t>2</w:t>
      </w:r>
    </w:p>
    <w:p w14:paraId="0453FC41">
      <w:pPr>
        <w:pStyle w:val="style0"/>
        <w:spacing w:before="0" w:after="0" w:lineRule="auto" w:line="276"/>
        <w:ind w:firstLine="576"/>
        <w:rPr/>
      </w:pPr>
      <w:r>
        <w:rPr>
          <w:rFonts w:ascii="Times New Roman" w:eastAsia="Times New Roman" w:hAnsi="Times New Roman"/>
          <w:sz w:val="24"/>
        </w:rPr>
        <w:t>A simpler illustration can be seen in free association. Its significance does not lie in yielding valid conclusions by itself, but in temporarily loosening the guarantees that ordinarily govern admissible processing. Under such loosening, connections that would otherwise be excluded, ignored, or deferred by a linear structure may begin to appear. The point is not that free association justifies knowledge. It is that it shows what can appear when the guarantees governing admissible processing are temporarily relaxed. It is therefore not a substitute for reasoning, but an indication of what reasoning does not generate by itself.</w:t>
      </w:r>
    </w:p>
    <w:p w14:paraId="5D04B33C">
      <w:pPr>
        <w:pStyle w:val="style0"/>
        <w:spacing w:before="0" w:after="0" w:lineRule="auto" w:line="276"/>
        <w:ind w:firstLine="576"/>
        <w:rPr/>
      </w:pPr>
      <w:r>
        <w:rPr>
          <w:rFonts w:ascii="Times New Roman" w:eastAsia="Times New Roman" w:hAnsi="Times New Roman"/>
          <w:sz w:val="24"/>
        </w:rPr>
        <w:t>The same structure also appears in everyday thinking. A person may repeatedly return to the same judgments, reactions, and errors not simply because of defective information, but because the process itself remains confined within the same field of prior guarantee. What is rejected is not only what cannot be processed by the existing structure, but also what would require a costly disturbance of the guarantees on which the present order depends. In this sense, intellectual comfort zones are not merely psychological habits. They are often downstream effects of a prior structure of admissibility.</w:t>
      </w:r>
    </w:p>
    <w:p w14:paraId="5F87B76F">
      <w:pPr>
        <w:pStyle w:val="style0"/>
        <w:spacing w:before="0" w:after="0" w:lineRule="auto" w:line="276"/>
        <w:ind w:firstLine="576"/>
        <w:rPr/>
      </w:pPr>
      <w:r>
        <w:rPr>
          <w:rFonts w:ascii="Times New Roman" w:eastAsia="Times New Roman" w:hAnsi="Times New Roman"/>
          <w:b/>
          <w:sz w:val="24"/>
        </w:rPr>
        <w:t>1.5 Transition to Empiricism and Rationalism</w:t>
      </w:r>
    </w:p>
    <w:p w14:paraId="46903D13">
      <w:pPr>
        <w:pStyle w:val="style0"/>
        <w:spacing w:before="0" w:after="0" w:lineRule="auto" w:line="276"/>
        <w:ind w:firstLine="576"/>
        <w:rPr/>
      </w:pPr>
      <w:r>
        <w:rPr>
          <w:rFonts w:ascii="Times New Roman" w:eastAsia="Times New Roman" w:hAnsi="Times New Roman"/>
          <w:sz w:val="24"/>
        </w:rPr>
        <w:t>This structural perspective makes possible a different reading of empiricism and rationalism. They need not be treated first as opposed doctrines. They can instead be treated as two paradigmatic ways in which a field of guarantee organizes admissibility. Empiricism secures admissibility through fact-like content suitable for judgment. Rationalism secures admissibility through premise suitable for derivation. Their differences are substantial, but their deeper commonality lies in the fact that both begin from what has already been guaranteed, process what is admissible to that guarantee, and return their results to the same field for recognition.</w:t>
      </w:r>
    </w:p>
    <w:p w14:paraId="6F95E2DD">
      <w:pPr>
        <w:pStyle w:val="style0"/>
        <w:spacing w:before="0" w:after="0" w:lineRule="auto" w:line="276"/>
        <w:ind w:firstLine="576"/>
        <w:rPr/>
      </w:pPr>
      <w:r>
        <w:rPr>
          <w:rFonts w:ascii="Times New Roman" w:eastAsia="Times New Roman" w:hAnsi="Times New Roman"/>
          <w:b/>
          <w:sz w:val="24"/>
        </w:rPr>
        <w:t>1.6 Broad Linearity Beyond Philosophical Self-Descriptions</w:t>
      </w:r>
    </w:p>
    <w:p w14:paraId="66137882">
      <w:pPr>
        <w:pStyle w:val="style0"/>
        <w:spacing w:before="0" w:after="0" w:lineRule="auto" w:line="276"/>
        <w:ind w:firstLine="576"/>
        <w:rPr/>
      </w:pPr>
      <w:r>
        <w:rPr>
          <w:rFonts w:ascii="Times New Roman" w:eastAsia="Times New Roman" w:hAnsi="Times New Roman"/>
          <w:sz w:val="24"/>
        </w:rPr>
        <w:t>One further consequence should be made explicit. The broad sense of linear reasoning developed here is not exhausted by positions that openly identify themselves as empiricist or rationalist. Many ordinary forms of thought share the same structure without adopting those labels. A person may distrust speculative system-building and yet still insist that only what already fits a familiar field of fact should count as real. Another may reject abstract rationalism and yet still insist that only what can be processed by an already authorized procedure should count as serious. In both cases, the explicit doctrine changes while the deeper structure remains.</w:t>
      </w:r>
    </w:p>
    <w:p w14:paraId="3C3F3FFC">
      <w:pPr>
        <w:pStyle w:val="style0"/>
        <w:spacing w:before="0" w:after="0" w:lineRule="auto" w:line="276"/>
        <w:ind w:firstLine="576"/>
        <w:rPr/>
      </w:pPr>
      <w:r>
        <w:rPr>
          <w:rFonts w:ascii="Times New Roman" w:eastAsia="Times New Roman" w:hAnsi="Times New Roman"/>
          <w:sz w:val="24"/>
        </w:rPr>
        <w:t>This is why the present argument concerns a wide cognitive style rather than a single philosophical school. What matters is not whether a thinker speaks in the language of sensation, reason, method, evidence, common sense, or practicality. What matters is whether the process begins from a prior guarantee, transforms what appears into something admissible to that guarantee, and then returns its result to the same field for recognition. Wherever that pattern persists, linear circularity is at work, even when no formal theory of reasoning is present.</w:t>
      </w:r>
    </w:p>
    <w:p w14:paraId="6AE32E27">
      <w:pPr>
        <w:pStyle w:val="style0"/>
        <w:spacing w:before="280" w:after="80" w:lineRule="auto" w:line="276"/>
        <w:ind w:firstLine="0"/>
        <w:jc w:val="left"/>
        <w:rPr/>
      </w:pPr>
      <w:r>
        <w:rPr>
          <w:rFonts w:ascii="Times New Roman" w:eastAsia="Times New Roman" w:hAnsi="Times New Roman"/>
          <w:b/>
          <w:color w:val="2f67b2"/>
          <w:sz w:val="26"/>
        </w:rPr>
        <w:t>2. Empiricism as Admissible Judgment</w:t>
      </w:r>
    </w:p>
    <w:p w14:paraId="615E02C5">
      <w:pPr>
        <w:pStyle w:val="style0"/>
        <w:spacing w:before="0" w:after="0" w:lineRule="auto" w:line="276"/>
        <w:ind w:firstLine="576"/>
        <w:rPr/>
      </w:pPr>
      <w:r>
        <w:rPr>
          <w:rFonts w:ascii="Times New Roman" w:eastAsia="Times New Roman" w:hAnsi="Times New Roman"/>
          <w:b/>
          <w:sz w:val="24"/>
        </w:rPr>
        <w:t>2.1 The Empiricist Beginning Is Already Processed</w:t>
      </w:r>
    </w:p>
    <w:p w14:paraId="EB31675F">
      <w:pPr>
        <w:pStyle w:val="style0"/>
        <w:spacing w:before="0" w:after="0" w:lineRule="auto" w:line="276"/>
        <w:ind w:firstLine="576"/>
        <w:rPr/>
      </w:pPr>
      <w:r>
        <w:rPr>
          <w:rFonts w:ascii="Times New Roman" w:eastAsia="Times New Roman" w:hAnsi="Times New Roman"/>
          <w:sz w:val="24"/>
        </w:rPr>
        <w:t>Empiricism often presents itself as beginning from what is given: experience, observation, sensation, or fact. Its rhetorical strength lies in the impression of modesty. Rather than imposing structure from above, it appears to submit thought to what reality provides. Yet structurally the decisive question is not what the beginning is called, but what allows it to function as an admissible beginning for judgment. On this level, empiricism does not begin from raw reality. It begins from experience already rendered into fact-like content that can bear epistemic weight.</w:t>
      </w:r>
    </w:p>
    <w:p w14:paraId="9CE3FFD7">
      <w:pPr>
        <w:pStyle w:val="style0"/>
        <w:spacing w:before="0" w:after="0" w:lineRule="auto" w:line="276"/>
        <w:ind w:firstLine="576"/>
        <w:rPr/>
      </w:pPr>
      <w:r>
        <w:rPr>
          <w:rFonts w:ascii="Times New Roman" w:eastAsia="Times New Roman" w:hAnsi="Times New Roman"/>
          <w:sz w:val="24"/>
        </w:rPr>
        <w:t>This means that the empiricist beginning is never simply immediate. A fact is not merely what happens. It is what has been delimited, selected, stabilized, and made available for empirical treatment. Something must be separated from background, identified under a description, and fixed in a form that can support comparison and confirmation. The empiricist may describe this as disciplined receptivity rather than construction, but the structural point remains the same: what is judged is not reality as such, but reality already processed into an admissible object.</w:t>
      </w:r>
      <w:r>
        <w:rPr>
          <w:rFonts w:ascii="Times New Roman" w:eastAsia="Times New Roman" w:hAnsi="Times New Roman"/>
          <w:sz w:val="24"/>
          <w:vertAlign w:val="superscript"/>
        </w:rPr>
        <w:t>3</w:t>
      </w:r>
    </w:p>
    <w:p w14:paraId="60DEF048">
      <w:pPr>
        <w:pStyle w:val="style0"/>
        <w:spacing w:before="0" w:after="0" w:lineRule="auto" w:line="276"/>
        <w:ind w:firstLine="576"/>
        <w:rPr/>
      </w:pPr>
      <w:r>
        <w:rPr>
          <w:rFonts w:ascii="Times New Roman" w:eastAsia="Times New Roman" w:hAnsi="Times New Roman"/>
          <w:sz w:val="24"/>
        </w:rPr>
        <w:t>The notion that empiricism simply starts where reality starts therefore masks a prior transformation. What counts as evidence has already passed through framing, segmentation, and stabilization. This does not make evidence unreal. It means only that empirical judgment is possible because experience has first been made processable. Empiricism begins, not from the sheer given, but from what has become admissible as fact.</w:t>
      </w:r>
    </w:p>
    <w:p w14:paraId="8179E45D">
      <w:pPr>
        <w:pStyle w:val="style0"/>
        <w:spacing w:before="0" w:after="0" w:lineRule="auto" w:line="276"/>
        <w:ind w:firstLine="576"/>
        <w:rPr/>
      </w:pPr>
      <w:r>
        <w:rPr>
          <w:rFonts w:ascii="Times New Roman" w:eastAsia="Times New Roman" w:hAnsi="Times New Roman"/>
          <w:b/>
          <w:sz w:val="24"/>
        </w:rPr>
        <w:t>2.2 Judgment Within an Authorized Field</w:t>
      </w:r>
    </w:p>
    <w:p w14:paraId="53146CCF">
      <w:pPr>
        <w:pStyle w:val="style0"/>
        <w:spacing w:before="0" w:after="0" w:lineRule="auto" w:line="276"/>
        <w:ind w:firstLine="576"/>
        <w:rPr/>
      </w:pPr>
      <w:r>
        <w:rPr>
          <w:rFonts w:ascii="Times New Roman" w:eastAsia="Times New Roman" w:hAnsi="Times New Roman"/>
          <w:sz w:val="24"/>
        </w:rPr>
        <w:t>Once fact-like content has been secured, empiricism proceeds by judgment. It compares, confirms, filters, and explains on the basis of what has been admitted as evidence. This movement can be highly effective. It disciplines speculation, supports prediction, and stabilizes practical inquiry. Yet all such judgment remains confined to what has first been rendered admissible to empirical treatment.</w:t>
      </w:r>
    </w:p>
    <w:p w14:paraId="E8EF2ACA">
      <w:pPr>
        <w:pStyle w:val="style0"/>
        <w:spacing w:before="0" w:after="0" w:lineRule="auto" w:line="276"/>
        <w:ind w:firstLine="576"/>
        <w:rPr/>
      </w:pPr>
      <w:r>
        <w:rPr>
          <w:rFonts w:ascii="Times New Roman" w:eastAsia="Times New Roman" w:hAnsi="Times New Roman"/>
          <w:sz w:val="24"/>
        </w:rPr>
        <w:t>This is the structural limit of empiricism. It can judge within the field of admissible fact; it cannot by itself produce what exceeds that field. If empiricism appears to do more, then either the field of admissibility has already shifted, or something has entered the process that empirical judgment did not generate. A new concept, a new instrument, a new salience, an anomaly, or a reclassification may open a field that judgment later organizes. But judgment as such does not create that opening. It works within it.</w:t>
      </w:r>
    </w:p>
    <w:p w14:paraId="4BC5B83D">
      <w:pPr>
        <w:pStyle w:val="style0"/>
        <w:spacing w:before="0" w:after="0" w:lineRule="auto" w:line="276"/>
        <w:ind w:firstLine="576"/>
        <w:rPr/>
      </w:pPr>
      <w:r>
        <w:rPr>
          <w:rFonts w:ascii="Times New Roman" w:eastAsia="Times New Roman" w:hAnsi="Times New Roman"/>
          <w:sz w:val="24"/>
        </w:rPr>
        <w:t>This point is often obscured because empirical success is retrospective. Once a new object has become admissible, empirical inquiry can work on it with great precision and can then redescribe the result as though the relevant field had simply been waiting to be read correctly. Yet the authorization of the field itself is not generated by judgment alone. Judgment requires a prior admissibility that it can then sustain and refine.</w:t>
      </w:r>
    </w:p>
    <w:p w14:paraId="9A0F317B">
      <w:pPr>
        <w:pStyle w:val="style0"/>
        <w:spacing w:before="0" w:after="0" w:lineRule="auto" w:line="276"/>
        <w:ind w:firstLine="576"/>
        <w:rPr/>
      </w:pPr>
      <w:r>
        <w:rPr>
          <w:rFonts w:ascii="Times New Roman" w:eastAsia="Times New Roman" w:hAnsi="Times New Roman"/>
          <w:b/>
          <w:sz w:val="24"/>
        </w:rPr>
        <w:t>2.3 Facts and the Hidden Dependence on Guarantee</w:t>
      </w:r>
    </w:p>
    <w:p w14:paraId="81BCC503">
      <w:pPr>
        <w:pStyle w:val="style0"/>
        <w:spacing w:before="0" w:after="0" w:lineRule="auto" w:line="276"/>
        <w:ind w:firstLine="576"/>
        <w:rPr/>
      </w:pPr>
      <w:r>
        <w:rPr>
          <w:rFonts w:ascii="Times New Roman" w:eastAsia="Times New Roman" w:hAnsi="Times New Roman"/>
          <w:sz w:val="24"/>
        </w:rPr>
        <w:t>Empiricism often appears modest because it rejects strong metaphysical certainty. Yet it remains dependent on guarantee in a decisive sense. Facts, observations, and experiences must function not merely as encountered contents, but as authorized beginnings for judgment. They must be taken to bear enough legitimacy for the process to proceed at all. Without such authorization, empirical judgment would be reduced to a sequence of impressions without standing.</w:t>
      </w:r>
    </w:p>
    <w:p w14:paraId="54FEA287">
      <w:pPr>
        <w:pStyle w:val="style0"/>
        <w:spacing w:before="0" w:after="0" w:lineRule="auto" w:line="276"/>
        <w:ind w:firstLine="576"/>
        <w:rPr/>
      </w:pPr>
      <w:r>
        <w:rPr>
          <w:rFonts w:ascii="Times New Roman" w:eastAsia="Times New Roman" w:hAnsi="Times New Roman"/>
          <w:sz w:val="24"/>
        </w:rPr>
        <w:t>Empiricism therefore does not eliminate guarantee; it relocates it into content. Its beginning is guaranteed fact, its process is guaranteed judgment, and its results are accepted only insofar as they return as recognizable within the same empirical order. This is why the empiricist field is not simply open receptivity. It is a managed order of admissibility in which fact-like contents are authorized to do specific epistemic work.</w:t>
      </w:r>
    </w:p>
    <w:p w14:paraId="99E56D0B">
      <w:pPr>
        <w:pStyle w:val="style0"/>
        <w:spacing w:before="0" w:after="0" w:lineRule="auto" w:line="276"/>
        <w:ind w:firstLine="576"/>
        <w:rPr/>
      </w:pPr>
      <w:r>
        <w:rPr>
          <w:rFonts w:ascii="Times New Roman" w:eastAsia="Times New Roman" w:hAnsi="Times New Roman"/>
          <w:sz w:val="24"/>
        </w:rPr>
        <w:t>The hidden dependence on guarantee becomes visible when the status of fact itself is challenged. The question then is no longer merely whether a given fact is correct, but whether fact-like content can secure the authority attributed to it. At that point, empiricism confronts a pressure internal to its own structure. It must either concede that its beginning is less self-grounding than it first appeared, or attempt to treat the conditions of admissibility themselves as though they were simply further facts. In both cases, the dependence on guarantee becomes harder to conceal.</w:t>
      </w:r>
    </w:p>
    <w:p w14:paraId="B8E548F2">
      <w:pPr>
        <w:pStyle w:val="style0"/>
        <w:spacing w:before="0" w:after="0" w:lineRule="auto" w:line="276"/>
        <w:ind w:firstLine="576"/>
        <w:rPr/>
      </w:pPr>
      <w:r>
        <w:rPr>
          <w:rFonts w:ascii="Times New Roman" w:eastAsia="Times New Roman" w:hAnsi="Times New Roman"/>
          <w:b/>
          <w:sz w:val="24"/>
        </w:rPr>
        <w:t>2.4 The Resulting Circularity</w:t>
      </w:r>
    </w:p>
    <w:p w14:paraId="DF00A1D2">
      <w:pPr>
        <w:pStyle w:val="style0"/>
        <w:spacing w:before="0" w:after="0" w:lineRule="auto" w:line="276"/>
        <w:ind w:firstLine="576"/>
        <w:rPr/>
      </w:pPr>
      <w:r>
        <w:rPr>
          <w:rFonts w:ascii="Times New Roman" w:eastAsia="Times New Roman" w:hAnsi="Times New Roman"/>
          <w:sz w:val="24"/>
        </w:rPr>
        <w:t>Empiricism is therefore not simply a doctrine about experience. It is a structure in which experience is first processed into admissible content, then judged within an authorized field, and finally returned as confirmed or stabilized fact. Its circularity lies not in a formal fallacy, but in the fact that what counts as beginning, what counts as legitimate judgment, and what counts as an acceptable result all remain governed by the same guarantee.</w:t>
      </w:r>
    </w:p>
    <w:p w14:paraId="9395BBD7">
      <w:pPr>
        <w:pStyle w:val="style0"/>
        <w:spacing w:before="0" w:after="0" w:lineRule="auto" w:line="276"/>
        <w:ind w:firstLine="576"/>
        <w:rPr/>
      </w:pPr>
      <w:r>
        <w:rPr>
          <w:rFonts w:ascii="Times New Roman" w:eastAsia="Times New Roman" w:hAnsi="Times New Roman"/>
          <w:sz w:val="24"/>
        </w:rPr>
        <w:t>This structure also explains why empiricism can simultaneously appear modest and expansive. It appears modest because it claims to begin from what is given. It becomes expansive because, once its field of admissible fact has been secured, it can treat that field as the standard for what counts as reality for epistemic purposes. The result is not merely a method of judgment but a regime of recognition. What fits the field appears objective; what does not fit it appears speculative, weak, or not yet mature.</w:t>
      </w:r>
    </w:p>
    <w:p w14:paraId="5D6AB6D1">
      <w:pPr>
        <w:pStyle w:val="style0"/>
        <w:spacing w:before="0" w:after="0" w:lineRule="auto" w:line="276"/>
        <w:ind w:firstLine="576"/>
        <w:rPr/>
      </w:pPr>
      <w:r>
        <w:rPr>
          <w:rFonts w:ascii="Times New Roman" w:eastAsia="Times New Roman" w:hAnsi="Times New Roman"/>
          <w:sz w:val="24"/>
        </w:rPr>
        <w:t>At this point, skepticism becomes intelligible not as an accidental interruption but as an internal exposure. It asks what authorizes the field of fact-like beginnings that empiricism needs but cannot finally generate from within itself.</w:t>
      </w:r>
    </w:p>
    <w:p w14:paraId="6E061929">
      <w:pPr>
        <w:pStyle w:val="style0"/>
        <w:spacing w:before="0" w:after="0" w:lineRule="auto" w:line="276"/>
        <w:ind w:firstLine="576"/>
        <w:rPr/>
      </w:pPr>
      <w:r>
        <w:rPr>
          <w:rFonts w:ascii="Times New Roman" w:eastAsia="Times New Roman" w:hAnsi="Times New Roman"/>
          <w:b/>
          <w:sz w:val="24"/>
        </w:rPr>
        <w:t>2.5 Empirical Closure and the Exclusion of What Is Not Yet Fact-Like</w:t>
      </w:r>
    </w:p>
    <w:p w14:paraId="538E0E9F">
      <w:pPr>
        <w:pStyle w:val="style0"/>
        <w:spacing w:before="0" w:after="0" w:lineRule="auto" w:line="276"/>
        <w:ind w:firstLine="576"/>
        <w:rPr/>
      </w:pPr>
      <w:r>
        <w:rPr>
          <w:rFonts w:ascii="Times New Roman" w:eastAsia="Times New Roman" w:hAnsi="Times New Roman"/>
          <w:sz w:val="24"/>
        </w:rPr>
        <w:t>Once empiricism has secured a field of admissible fact-like contents, it tends to judge the world in terms of that field's own conditions. What can be stabilized as evidence appears objective; what cannot yet be stabilized appears weak, anecdotal, speculative, or merely subjective. This is not always a mistake. The field needs standards. Yet the standards also have an excluding force. They determine in advance what kinds of contents can count as epistemically mature enough to enter judgment at all.</w:t>
      </w:r>
    </w:p>
    <w:p w14:paraId="133B5F80">
      <w:pPr>
        <w:pStyle w:val="style0"/>
        <w:spacing w:before="0" w:after="0" w:lineRule="auto" w:line="276"/>
        <w:ind w:firstLine="576"/>
        <w:rPr/>
      </w:pPr>
      <w:r>
        <w:rPr>
          <w:rFonts w:ascii="Times New Roman" w:eastAsia="Times New Roman" w:hAnsi="Times New Roman"/>
          <w:sz w:val="24"/>
        </w:rPr>
        <w:t>This excluding force helps explain why empiricism can have difficulty with what is transitional, unstable, or not yet properly objectified. What later becomes a recognized object of inquiry may initially appear in forms that are fragmentary, excessive, ambiguous, or not readily repeatable. At that stage, the content does not merely fail to satisfy empirical standards; it may fail even to appear as the right kind of thing for empirical treatment. In that sense, empiricism often encounters novelty only after novelty has already undergone enough stabilization to become fact-like.</w:t>
      </w:r>
    </w:p>
    <w:p w14:paraId="52F94B87">
      <w:pPr>
        <w:pStyle w:val="style0"/>
        <w:spacing w:before="0" w:after="0" w:lineRule="auto" w:line="276"/>
        <w:ind w:firstLine="576"/>
        <w:rPr/>
      </w:pPr>
      <w:r>
        <w:rPr>
          <w:rFonts w:ascii="Times New Roman" w:eastAsia="Times New Roman" w:hAnsi="Times New Roman"/>
          <w:sz w:val="24"/>
        </w:rPr>
        <w:t>The consequence is not that empiricism must be abandoned. It is that empiricism tends to encounter the world after a prior selection has already occurred. It is strongest where admissibility has already been secured. It is weakest where the very criteria of admissibility are what must change.</w:t>
      </w:r>
    </w:p>
    <w:p w14:paraId="190E0698">
      <w:pPr>
        <w:pStyle w:val="style0"/>
        <w:spacing w:before="280" w:after="80" w:lineRule="auto" w:line="276"/>
        <w:ind w:firstLine="0"/>
        <w:jc w:val="left"/>
        <w:rPr/>
      </w:pPr>
      <w:r>
        <w:rPr>
          <w:rFonts w:ascii="Times New Roman" w:eastAsia="Times New Roman" w:hAnsi="Times New Roman"/>
          <w:b/>
          <w:color w:val="2f67b2"/>
          <w:sz w:val="26"/>
        </w:rPr>
        <w:t>3. Rationalism as Admissible Derivation</w:t>
      </w:r>
    </w:p>
    <w:p w14:paraId="B3861796">
      <w:pPr>
        <w:pStyle w:val="style0"/>
        <w:spacing w:before="0" w:after="0" w:lineRule="auto" w:line="276"/>
        <w:ind w:firstLine="576"/>
        <w:rPr/>
      </w:pPr>
      <w:r>
        <w:rPr>
          <w:rFonts w:ascii="Times New Roman" w:eastAsia="Times New Roman" w:hAnsi="Times New Roman"/>
          <w:b/>
          <w:sz w:val="24"/>
        </w:rPr>
        <w:t>3.1 From Fact-Like Content to Rule-Governed Premise</w:t>
      </w:r>
    </w:p>
    <w:p w14:paraId="06B535DC">
      <w:pPr>
        <w:pStyle w:val="style0"/>
        <w:spacing w:before="0" w:after="0" w:lineRule="auto" w:line="276"/>
        <w:ind w:firstLine="576"/>
        <w:rPr/>
      </w:pPr>
      <w:r>
        <w:rPr>
          <w:rFonts w:ascii="Times New Roman" w:eastAsia="Times New Roman" w:hAnsi="Times New Roman"/>
          <w:sz w:val="24"/>
        </w:rPr>
        <w:t>If empiricism seeks guarantee through admissible content for judgment, rationalism seeks guarantee through admissible premise for derivation. Rationalism does not begin from reality as such, but from premises already rendered fit for rule-governed treatment. Its confidence lies in the thought that, once a legitimate beginning is secured and the rules of processing are sound, what follows will carry rational authority.</w:t>
      </w:r>
    </w:p>
    <w:p w14:paraId="63467F21">
      <w:pPr>
        <w:pStyle w:val="style0"/>
        <w:spacing w:before="0" w:after="0" w:lineRule="auto" w:line="276"/>
        <w:ind w:firstLine="576"/>
        <w:rPr/>
      </w:pPr>
      <w:r>
        <w:rPr>
          <w:rFonts w:ascii="Times New Roman" w:eastAsia="Times New Roman" w:hAnsi="Times New Roman"/>
          <w:sz w:val="24"/>
        </w:rPr>
        <w:t>The distinctive ambition of rationalism is therefore not merely to think clearly. It is to secure legitimacy by rule-bound movement from authorized starting points. In this sense, its object is not the real in its rawness, but the real as already transformed into something derivable. This transformation may be expressed in the language of clarity, concept, essence, or formal necessity, but structurally the point is the same: the beginning must first be made admissible to derivation.</w:t>
      </w:r>
    </w:p>
    <w:p w14:paraId="285833FF">
      <w:pPr>
        <w:pStyle w:val="style0"/>
        <w:spacing w:before="0" w:after="0" w:lineRule="auto" w:line="276"/>
        <w:ind w:firstLine="576"/>
        <w:rPr/>
      </w:pPr>
      <w:r>
        <w:rPr>
          <w:rFonts w:ascii="Times New Roman" w:eastAsia="Times New Roman" w:hAnsi="Times New Roman"/>
          <w:sz w:val="24"/>
        </w:rPr>
        <w:t>Rationalism thus differs from empiricism less by escaping guarantee than by relocating guarantee into form. Where empiricism needs fact-like content as the basis for judgment, rationalism needs premise and rule as the basis for derivation. In each case, thought must first transform what confronts it into something it can legitimately handle.</w:t>
      </w:r>
    </w:p>
    <w:p w14:paraId="6EAEE61A">
      <w:pPr>
        <w:pStyle w:val="style0"/>
        <w:spacing w:before="0" w:after="0" w:lineRule="auto" w:line="276"/>
        <w:ind w:firstLine="576"/>
        <w:rPr/>
      </w:pPr>
      <w:r>
        <w:rPr>
          <w:rFonts w:ascii="Times New Roman" w:eastAsia="Times New Roman" w:hAnsi="Times New Roman"/>
          <w:b/>
          <w:sz w:val="24"/>
        </w:rPr>
        <w:t>3.2 Derivation and Structural Limitation</w:t>
      </w:r>
    </w:p>
    <w:p w14:paraId="46E7D684">
      <w:pPr>
        <w:pStyle w:val="style0"/>
        <w:spacing w:before="0" w:after="0" w:lineRule="auto" w:line="276"/>
        <w:ind w:firstLine="576"/>
        <w:rPr/>
      </w:pPr>
      <w:r>
        <w:rPr>
          <w:rFonts w:ascii="Times New Roman" w:eastAsia="Times New Roman" w:hAnsi="Times New Roman"/>
          <w:sz w:val="24"/>
        </w:rPr>
        <w:t>Rationalism can produce highly ordered structures. It can unfold consequences, test coherence, clarify distinctions, and refine relations within a premise-structure. But its power remains premise-bound. It can derive only what its premises and rules already permit. If derivation appears to produce what exceeds its premises, then either the premises have been silently expanded, or something not generated by pure derivation has entered the process.</w:t>
      </w:r>
    </w:p>
    <w:p w14:paraId="CF06000B">
      <w:pPr>
        <w:pStyle w:val="style0"/>
        <w:spacing w:before="0" w:after="0" w:lineRule="auto" w:line="276"/>
        <w:ind w:firstLine="576"/>
        <w:rPr/>
      </w:pPr>
      <w:r>
        <w:rPr>
          <w:rFonts w:ascii="Times New Roman" w:eastAsia="Times New Roman" w:hAnsi="Times New Roman"/>
          <w:sz w:val="24"/>
        </w:rPr>
        <w:t>This is why rationalism and empiricism, for all their differences, remain structurally comparable. Both require a prior field of admissibility. One proceeds by judgment on admissible fact-like content; the other by derivation from admissible premise. Neither begins from sheer reality. Neither escapes dependence on prior guarantee.</w:t>
      </w:r>
    </w:p>
    <w:p w14:paraId="3680D17E">
      <w:pPr>
        <w:pStyle w:val="style0"/>
        <w:spacing w:before="0" w:after="0" w:lineRule="auto" w:line="276"/>
        <w:ind w:firstLine="576"/>
        <w:rPr/>
      </w:pPr>
      <w:r>
        <w:rPr>
          <w:rFonts w:ascii="Times New Roman" w:eastAsia="Times New Roman" w:hAnsi="Times New Roman"/>
          <w:sz w:val="24"/>
        </w:rPr>
        <w:t>The limitation is not a weakness unique to rationalism. It is the ordinary condition of any rule-governed forward movement. A derivation can be rigorous without being generative in the strong sense. It can make explicit what was latent, reorder what was implicit, and stabilize what can be brought into formal relation. But it cannot by itself produce a new field of admissibility. If such a field appears, it is because the premises, the rules, or the scope of what counts as relevant have already been altered.</w:t>
      </w:r>
    </w:p>
    <w:p w14:paraId="933A546C">
      <w:pPr>
        <w:pStyle w:val="style0"/>
        <w:spacing w:before="0" w:after="0" w:lineRule="auto" w:line="276"/>
        <w:ind w:firstLine="576"/>
        <w:rPr/>
      </w:pPr>
      <w:r>
        <w:rPr>
          <w:rFonts w:ascii="Times New Roman" w:eastAsia="Times New Roman" w:hAnsi="Times New Roman"/>
          <w:b/>
          <w:sz w:val="24"/>
        </w:rPr>
        <w:t>3.3 The Rationalist Form of Guarantee</w:t>
      </w:r>
    </w:p>
    <w:p w14:paraId="F15E88BE">
      <w:pPr>
        <w:pStyle w:val="style0"/>
        <w:spacing w:before="0" w:after="0" w:lineRule="auto" w:line="276"/>
        <w:ind w:firstLine="576"/>
        <w:rPr/>
      </w:pPr>
      <w:r>
        <w:rPr>
          <w:rFonts w:ascii="Times New Roman" w:eastAsia="Times New Roman" w:hAnsi="Times New Roman"/>
          <w:sz w:val="24"/>
        </w:rPr>
        <w:t>Rationalism often appears stronger than empiricism because rule, coherence, and form seem more stable than fluctuating experience. Yet this apparent strength reveals a distinct fragility. A premise does not become self-authorizing merely because it enters a formal order, and a system does not become self-grounding merely because its internal relations are precise. Formal order can secure movement only if the authority of the beginning and the legitimacy of the rules are already granted.</w:t>
      </w:r>
    </w:p>
    <w:p w14:paraId="B5A9A374">
      <w:pPr>
        <w:pStyle w:val="style0"/>
        <w:spacing w:before="0" w:after="0" w:lineRule="auto" w:line="276"/>
        <w:ind w:firstLine="576"/>
        <w:rPr/>
      </w:pPr>
      <w:r>
        <w:rPr>
          <w:rFonts w:ascii="Times New Roman" w:eastAsia="Times New Roman" w:hAnsi="Times New Roman"/>
          <w:sz w:val="24"/>
        </w:rPr>
        <w:t>Rationalism therefore depends on guarantee no less than empiricism does. Its guarantee lies not in fact-like content, but in the admissibility of its premises and the authority of its rules. Its beginning is guaranteed premise, its process is guaranteed derivation, and its result returns as acceptable only within the same authorized order. This is why the rationalist order, like the empiricist one, remains structurally circular in the deeper sense at issue here.</w:t>
      </w:r>
    </w:p>
    <w:p w14:paraId="A5F14C42">
      <w:pPr>
        <w:pStyle w:val="style0"/>
        <w:spacing w:before="0" w:after="0" w:lineRule="auto" w:line="276"/>
        <w:ind w:firstLine="576"/>
        <w:rPr/>
      </w:pPr>
      <w:r>
        <w:rPr>
          <w:rFonts w:ascii="Times New Roman" w:eastAsia="Times New Roman" w:hAnsi="Times New Roman"/>
          <w:sz w:val="24"/>
        </w:rPr>
        <w:t>The dependence on guarantee becomes especially visible whenever rationalism seeks not merely to derive consequences, but to ground the authority of its own beginning. At that point it must either appeal upward to a still prior principle, thereby risking regress, or allow the beginning to stand on a self-authorizing basis, thereby intensifying the burden of guarantee. The aspiration to self-grounding order thus reveals its own structural instability.</w:t>
      </w:r>
    </w:p>
    <w:p w14:paraId="EF2135B6">
      <w:pPr>
        <w:pStyle w:val="style0"/>
        <w:spacing w:before="0" w:after="0" w:lineRule="auto" w:line="276"/>
        <w:ind w:firstLine="576"/>
        <w:rPr/>
      </w:pPr>
      <w:r>
        <w:rPr>
          <w:rFonts w:ascii="Times New Roman" w:eastAsia="Times New Roman" w:hAnsi="Times New Roman"/>
          <w:b/>
          <w:sz w:val="24"/>
        </w:rPr>
        <w:t>3.4 Why Static Derivation Cannot Suffice</w:t>
      </w:r>
    </w:p>
    <w:p w14:paraId="A79AAB1D">
      <w:pPr>
        <w:pStyle w:val="style0"/>
        <w:spacing w:before="0" w:after="0" w:lineRule="auto" w:line="276"/>
        <w:ind w:firstLine="576"/>
        <w:rPr/>
      </w:pPr>
      <w:r>
        <w:rPr>
          <w:rFonts w:ascii="Times New Roman" w:eastAsia="Times New Roman" w:hAnsi="Times New Roman"/>
          <w:sz w:val="24"/>
        </w:rPr>
        <w:t>This structural limit becomes particularly visible wherever movement, contradiction, and development must be handled. Static formal progression can unfold what is already premise-bound, but it cannot by itself generate a new order of admissibility. It is powerful within a guaranteed field; it cannot, by its own operation alone, produce the reconfiguration of the field itself.</w:t>
      </w:r>
    </w:p>
    <w:p w14:paraId="5E8A60C7">
      <w:pPr>
        <w:pStyle w:val="style0"/>
        <w:spacing w:before="0" w:after="0" w:lineRule="auto" w:line="276"/>
        <w:ind w:firstLine="576"/>
        <w:rPr/>
      </w:pPr>
      <w:r>
        <w:rPr>
          <w:rFonts w:ascii="Times New Roman" w:eastAsia="Times New Roman" w:hAnsi="Times New Roman"/>
          <w:sz w:val="24"/>
        </w:rPr>
        <w:t>This is why some of rationalism's greatest successors are also its internal critics. Once movement can no longer be treated as external to truth, a static sequence from premise to consequence becomes insufficient. The field must either admit that it cannot handle what now confronts it, or attempt to transform the rules of processing themselves. It is this pressure that later becomes philosophically visible in more dynamic accounts of development.</w:t>
      </w:r>
    </w:p>
    <w:p w14:paraId="CE6593B4">
      <w:pPr>
        <w:pStyle w:val="style0"/>
        <w:spacing w:before="0" w:after="0" w:lineRule="auto" w:line="276"/>
        <w:ind w:firstLine="576"/>
        <w:rPr/>
      </w:pPr>
      <w:r>
        <w:rPr>
          <w:rFonts w:ascii="Times New Roman" w:eastAsia="Times New Roman" w:hAnsi="Times New Roman"/>
          <w:sz w:val="24"/>
        </w:rPr>
        <w:t>Rationalism therefore should not be rejected as though it were simply mistaken. Its strength is genuine. But its strength lies in what it can do within a guaranteed field. Its limit appears when what must be handled is not another consequence within the field, but a change in the field that makes consequences intelligible in the first place.</w:t>
      </w:r>
    </w:p>
    <w:p w14:paraId="3C4527CE">
      <w:pPr>
        <w:pStyle w:val="style0"/>
        <w:spacing w:before="0" w:after="0" w:lineRule="auto" w:line="276"/>
        <w:ind w:firstLine="576"/>
        <w:rPr/>
      </w:pPr>
      <w:r>
        <w:rPr>
          <w:rFonts w:ascii="Times New Roman" w:eastAsia="Times New Roman" w:hAnsi="Times New Roman"/>
          <w:b/>
          <w:sz w:val="24"/>
        </w:rPr>
        <w:t>3.5 Rationalist Capture and the Pressure Toward Totalization</w:t>
      </w:r>
    </w:p>
    <w:p w14:paraId="79DC7A0F">
      <w:pPr>
        <w:pStyle w:val="style0"/>
        <w:spacing w:before="0" w:after="0" w:lineRule="auto" w:line="276"/>
        <w:ind w:firstLine="576"/>
        <w:rPr/>
      </w:pPr>
      <w:r>
        <w:rPr>
          <w:rFonts w:ascii="Times New Roman" w:eastAsia="Times New Roman" w:hAnsi="Times New Roman"/>
          <w:sz w:val="24"/>
        </w:rPr>
        <w:t>Rationalism exhibits a parallel difficulty from the side of form. Because it seeks security in premises and rules, it is tempted to regard what can be integrated into derivable order as the privileged form of intelligibility. Once this temptation takes hold, what cannot be integrated risks appearing not merely unfinished but deficient. The structure thereby presses toward a subtle totalization: the assumption that what is genuinely thinkable must already be available for rule-governed treatment.</w:t>
      </w:r>
    </w:p>
    <w:p w14:paraId="BF50140B">
      <w:pPr>
        <w:pStyle w:val="style0"/>
        <w:spacing w:before="0" w:after="0" w:lineRule="auto" w:line="276"/>
        <w:ind w:firstLine="576"/>
        <w:rPr/>
      </w:pPr>
      <w:r>
        <w:rPr>
          <w:rFonts w:ascii="Times New Roman" w:eastAsia="Times New Roman" w:hAnsi="Times New Roman"/>
          <w:sz w:val="24"/>
        </w:rPr>
        <w:t>This pressure toward totalization does not always appear as overt system-building. It can also appear in more modest forms, whenever a process treats formal availability as the measure of reality. At that point, the order of derivation ceases merely to organize what has been admitted and begins to function as a criterion for what deserves admission at all. Rationalism then captures reality by requiring that the real present itself in derivable form.</w:t>
      </w:r>
    </w:p>
    <w:p w14:paraId="9B46BE94">
      <w:pPr>
        <w:pStyle w:val="style0"/>
        <w:spacing w:before="0" w:after="0" w:lineRule="auto" w:line="276"/>
        <w:ind w:firstLine="576"/>
        <w:rPr/>
      </w:pPr>
      <w:r>
        <w:rPr>
          <w:rFonts w:ascii="Times New Roman" w:eastAsia="Times New Roman" w:hAnsi="Times New Roman"/>
          <w:sz w:val="24"/>
        </w:rPr>
        <w:t>The difficulty is not that derivation is too strict. The difficulty is that derivation can begin to mistake its own mode of admissibility for the universal form of intelligibility. Wherever that happens, what exceeds the authorized field appears not simply unknown, but improperly formed. This is one of the reasons why a later dynamic repair becomes necessary.</w:t>
      </w:r>
    </w:p>
    <w:p w14:paraId="84077E2B">
      <w:pPr>
        <w:pStyle w:val="style0"/>
        <w:spacing w:before="280" w:after="80" w:lineRule="auto" w:line="276"/>
        <w:ind w:firstLine="0"/>
        <w:jc w:val="left"/>
        <w:rPr/>
      </w:pPr>
      <w:r>
        <w:rPr>
          <w:rFonts w:ascii="Times New Roman" w:eastAsia="Times New Roman" w:hAnsi="Times New Roman"/>
          <w:b/>
          <w:color w:val="2f67b2"/>
          <w:sz w:val="26"/>
        </w:rPr>
        <w:t>4. Skepticism and Hegelian Dialectic as Two Exposures of Structural Limit</w:t>
      </w:r>
    </w:p>
    <w:p w14:paraId="617C453F">
      <w:pPr>
        <w:pStyle w:val="style0"/>
        <w:spacing w:before="0" w:after="0" w:lineRule="auto" w:line="276"/>
        <w:ind w:firstLine="576"/>
        <w:rPr/>
      </w:pPr>
      <w:r>
        <w:rPr>
          <w:rFonts w:ascii="Times New Roman" w:eastAsia="Times New Roman" w:hAnsi="Times New Roman"/>
          <w:b/>
          <w:sz w:val="24"/>
        </w:rPr>
        <w:t>4.1 Skepticism and the Failure of Fact-Like Guarantee</w:t>
      </w:r>
    </w:p>
    <w:p w14:paraId="3C54D5EE">
      <w:pPr>
        <w:pStyle w:val="style0"/>
        <w:spacing w:before="0" w:after="0" w:lineRule="auto" w:line="276"/>
        <w:ind w:firstLine="576"/>
        <w:rPr/>
      </w:pPr>
      <w:r>
        <w:rPr>
          <w:rFonts w:ascii="Times New Roman" w:eastAsia="Times New Roman" w:hAnsi="Times New Roman"/>
          <w:sz w:val="24"/>
        </w:rPr>
        <w:t>Skepticism is better understood here not as an external attack on empiricism, but as an exposure of a structural weakness already present within it. If empiricism depends on fact-like content as an admissible beginning, skepticism asks what authorizes that beginning. How does the encountered become sufficient for judgment? How does appearance become entitled to stop doubt? These questions do not simply interrupt empirical inquiry from outside. They arise from the burden placed on empirical beginnings by the empiricist structure itself.</w:t>
      </w:r>
    </w:p>
    <w:p w14:paraId="A2FFFF1E">
      <w:pPr>
        <w:pStyle w:val="style0"/>
        <w:spacing w:before="0" w:after="0" w:lineRule="auto" w:line="276"/>
        <w:ind w:firstLine="576"/>
        <w:rPr/>
      </w:pPr>
      <w:r>
        <w:rPr>
          <w:rFonts w:ascii="Times New Roman" w:eastAsia="Times New Roman" w:hAnsi="Times New Roman"/>
          <w:sz w:val="24"/>
        </w:rPr>
        <w:t>Skepticism therefore shows that empiricism cannot secure itself simply by appealing to what is already treated as fact. Fact-like beginnings require guarantee, yet cannot fully generate that guarantee from within empirical judgment itself. The problem is not merely that appearances may deceive. The deeper problem is that the authority of fact-like content cannot be read directly off its occurrence. Occurrence and authorization are not the same.</w:t>
      </w:r>
    </w:p>
    <w:p w14:paraId="09D4B7B6">
      <w:pPr>
        <w:pStyle w:val="style0"/>
        <w:spacing w:before="0" w:after="0" w:lineRule="auto" w:line="276"/>
        <w:ind w:firstLine="576"/>
        <w:rPr/>
      </w:pPr>
      <w:r>
        <w:rPr>
          <w:rFonts w:ascii="Times New Roman" w:eastAsia="Times New Roman" w:hAnsi="Times New Roman"/>
          <w:sz w:val="24"/>
        </w:rPr>
        <w:t>This is why skeptical pressure cannot be dissolved simply by lowering standards from certainty to probability. Even a probabilistic field still requires an admissible beginning, a licensed transition, and a recognizable result. The question changes in intensity, but not in kind. The field still depends on guarantee, even when it no longer seeks infallibility.</w:t>
      </w:r>
    </w:p>
    <w:p w14:paraId="9CDF3534">
      <w:pPr>
        <w:pStyle w:val="style0"/>
        <w:spacing w:before="0" w:after="0" w:lineRule="auto" w:line="276"/>
        <w:ind w:firstLine="576"/>
        <w:rPr/>
      </w:pPr>
      <w:r>
        <w:rPr>
          <w:rFonts w:ascii="Times New Roman" w:eastAsia="Times New Roman" w:hAnsi="Times New Roman"/>
          <w:b/>
          <w:sz w:val="24"/>
        </w:rPr>
        <w:t>4.2 Hegelian Dialectic and the Failure of Static Derivation</w:t>
      </w:r>
    </w:p>
    <w:p w14:paraId="EC768CE1">
      <w:pPr>
        <w:pStyle w:val="style0"/>
        <w:spacing w:before="0" w:after="0" w:lineRule="auto" w:line="276"/>
        <w:ind w:firstLine="576"/>
        <w:rPr/>
      </w:pPr>
      <w:r>
        <w:rPr>
          <w:rFonts w:ascii="Times New Roman" w:eastAsia="Times New Roman" w:hAnsi="Times New Roman"/>
          <w:sz w:val="24"/>
        </w:rPr>
        <w:t>If skepticism exposes the weakness of empiricist guarantee, Hegelian dialectic exposes the insufficiency of static rationalist derivation. Wherever contradiction, movement, and development become unavoidable, a merely fixed progression from premise to consequence no longer suffices. The structure must attempt to absorb movement into itself.</w:t>
      </w:r>
    </w:p>
    <w:p w14:paraId="267741BC">
      <w:pPr>
        <w:pStyle w:val="style0"/>
        <w:spacing w:before="0" w:after="0" w:lineRule="auto" w:line="276"/>
        <w:ind w:firstLine="576"/>
        <w:rPr/>
      </w:pPr>
      <w:r>
        <w:rPr>
          <w:rFonts w:ascii="Times New Roman" w:eastAsia="Times New Roman" w:hAnsi="Times New Roman"/>
          <w:sz w:val="24"/>
        </w:rPr>
        <w:t>Hegelian dialectic can therefore be read as a higher-order response to the weakness of rationalist form. It does not escape guarantee. It attempts to repair guarantee at a higher level by making transition, negativity, and development themselves intelligible within a larger order. The significance of dialectic, in this reading, is not that it abandons legitimacy, but that it seeks to preserve legitimacy by transforming the conditions under which movement can be handled.</w:t>
      </w:r>
      <w:r>
        <w:rPr>
          <w:rFonts w:ascii="Times New Roman" w:eastAsia="Times New Roman" w:hAnsi="Times New Roman"/>
          <w:sz w:val="24"/>
          <w:vertAlign w:val="superscript"/>
        </w:rPr>
        <w:t>4</w:t>
      </w:r>
    </w:p>
    <w:p w14:paraId="8230DE01">
      <w:pPr>
        <w:pStyle w:val="style0"/>
        <w:spacing w:before="0" w:after="0" w:lineRule="auto" w:line="276"/>
        <w:ind w:firstLine="576"/>
        <w:rPr/>
      </w:pPr>
      <w:r>
        <w:rPr>
          <w:rFonts w:ascii="Times New Roman" w:eastAsia="Times New Roman" w:hAnsi="Times New Roman"/>
          <w:sz w:val="24"/>
        </w:rPr>
        <w:t>At first glance, this may seem like a decisive break with linearity. But the relevant issue is not whether the movement is geometrically linear. It is whether the process remains governed by a structure that seeks to restore intelligibility through return. Dialectic remains continuous with linear circularity at a higher level insofar as negation, rupture, and contradiction are not left as irreducible disruptions but are reintegrated into a process that aims at intelligible recovery.</w:t>
      </w:r>
    </w:p>
    <w:p w14:paraId="C958DA6B">
      <w:pPr>
        <w:pStyle w:val="style0"/>
        <w:spacing w:before="0" w:after="0" w:lineRule="auto" w:line="276"/>
        <w:ind w:firstLine="576"/>
        <w:rPr/>
      </w:pPr>
      <w:r>
        <w:rPr>
          <w:rFonts w:ascii="Times New Roman" w:eastAsia="Times New Roman" w:hAnsi="Times New Roman"/>
          <w:b/>
          <w:sz w:val="24"/>
        </w:rPr>
        <w:t>4.3 Two Different Symptoms of the Same Problem</w:t>
      </w:r>
    </w:p>
    <w:p w14:paraId="C2EB8372">
      <w:pPr>
        <w:pStyle w:val="style0"/>
        <w:spacing w:before="0" w:after="0" w:lineRule="auto" w:line="276"/>
        <w:ind w:firstLine="576"/>
        <w:rPr/>
      </w:pPr>
      <w:r>
        <w:rPr>
          <w:rFonts w:ascii="Times New Roman" w:eastAsia="Times New Roman" w:hAnsi="Times New Roman"/>
          <w:sz w:val="24"/>
        </w:rPr>
        <w:t>Skepticism and dialectic are thus not simply opposites. They are two different exposures of the same structural limit. Skepticism shows that admissible content cannot fully guarantee itself. Dialectic shows that admissible form cannot remain adequate if movement is treated as external to it. Both point toward the same deeper issue: linear reasoning depends on guarantee, yet cannot wholly account for that guarantee by means of its own ordinary forward movement.</w:t>
      </w:r>
    </w:p>
    <w:p w14:paraId="01D3B4D7">
      <w:pPr>
        <w:pStyle w:val="style0"/>
        <w:spacing w:before="0" w:after="0" w:lineRule="auto" w:line="276"/>
        <w:ind w:firstLine="576"/>
        <w:rPr/>
      </w:pPr>
      <w:r>
        <w:rPr>
          <w:rFonts w:ascii="Times New Roman" w:eastAsia="Times New Roman" w:hAnsi="Times New Roman"/>
          <w:sz w:val="24"/>
        </w:rPr>
        <w:t>The contrast between them is nonetheless instructive. Skepticism tends toward interruption. It reveals the inability of a field to justify the authority of its own beginning. Dialectic tends toward reintegration. It seeks to preserve intelligibility by making transition itself part of a larger structure of order. But in both cases, what becomes visible is the inadequacy of any simple appeal to linear progression as self-sufficient.</w:t>
      </w:r>
    </w:p>
    <w:p w14:paraId="9F27A347">
      <w:pPr>
        <w:pStyle w:val="style0"/>
        <w:spacing w:before="0" w:after="0" w:lineRule="auto" w:line="276"/>
        <w:ind w:firstLine="576"/>
        <w:rPr/>
      </w:pPr>
      <w:r>
        <w:rPr>
          <w:rFonts w:ascii="Times New Roman" w:eastAsia="Times New Roman" w:hAnsi="Times New Roman"/>
          <w:b/>
          <w:sz w:val="24"/>
        </w:rPr>
        <w:t>4.4 Beyond Philosophy in the Narrow Sense</w:t>
      </w:r>
    </w:p>
    <w:p w14:paraId="623EB730">
      <w:pPr>
        <w:pStyle w:val="style0"/>
        <w:spacing w:before="0" w:after="0" w:lineRule="auto" w:line="276"/>
        <w:ind w:firstLine="576"/>
        <w:rPr/>
      </w:pPr>
      <w:r>
        <w:rPr>
          <w:rFonts w:ascii="Times New Roman" w:eastAsia="Times New Roman" w:hAnsi="Times New Roman"/>
          <w:sz w:val="24"/>
        </w:rPr>
        <w:t>The significance of these two figures is wider than the history of philosophy alone. They show, from different sides, that a structure dependent on prior guarantee will eventually confront what its own ordinary operation cannot fully absorb. Sometimes this appears as doubt about the beginning. Sometimes it appears as pressure to transform the rules of processing themselves. In either case, the linearity of the process reveals its dependence on a deeper circularity.</w:t>
      </w:r>
    </w:p>
    <w:p w14:paraId="4A31715F">
      <w:pPr>
        <w:pStyle w:val="style0"/>
        <w:spacing w:before="0" w:after="0" w:lineRule="auto" w:line="276"/>
        <w:ind w:firstLine="576"/>
        <w:rPr/>
      </w:pPr>
      <w:r>
        <w:rPr>
          <w:rFonts w:ascii="Times New Roman" w:eastAsia="Times New Roman" w:hAnsi="Times New Roman"/>
          <w:sz w:val="24"/>
        </w:rPr>
        <w:t>This wider significance can also be seen in scientific change and in practical cognition. An anomalous result, an experimental failure, an unexpected correlation, or a sudden reorganization of salience can expose the inadequacy of an existing field of admissibility. At first, the anomaly may look merely defective, accidental, or irrelevant because it cannot yet be recognized within the authorized order. Only later can it be reorganized into a new field of judgment or derivation. The point is not that science abandons method whenever novelty appears. The point is that method, understood linearly, does not by itself open the new field that it later stabilizes.</w:t>
      </w:r>
    </w:p>
    <w:p w14:paraId="BD54FCF0">
      <w:pPr>
        <w:pStyle w:val="style0"/>
        <w:spacing w:before="0" w:after="0" w:lineRule="auto" w:line="276"/>
        <w:ind w:firstLine="576"/>
        <w:rPr/>
      </w:pPr>
      <w:r>
        <w:rPr>
          <w:rFonts w:ascii="Times New Roman" w:eastAsia="Times New Roman" w:hAnsi="Times New Roman"/>
          <w:sz w:val="24"/>
        </w:rPr>
        <w:t>Similarly, a person may remain trapped in repeated patterns of judgment even while sincerely trying to reason better. The difficulty is not always ignorance of content. It may lie in the fact that the same field of guarantee continues to govern what can count as relevant, processable, or worth confronting. In that sense, repeated misrecognition at the level of life is often structurally continuous with repeated closure at the level of theory.</w:t>
      </w:r>
    </w:p>
    <w:p w14:paraId="F59DB8A5">
      <w:pPr>
        <w:pStyle w:val="style0"/>
        <w:spacing w:before="0" w:after="0" w:lineRule="auto" w:line="276"/>
        <w:ind w:firstLine="576"/>
        <w:rPr/>
      </w:pPr>
      <w:r>
        <w:rPr>
          <w:rFonts w:ascii="Times New Roman" w:eastAsia="Times New Roman" w:hAnsi="Times New Roman"/>
          <w:b/>
          <w:sz w:val="24"/>
        </w:rPr>
        <w:t>4.5 Scientific Reconfiguration and the Delay of Recognition</w:t>
      </w:r>
    </w:p>
    <w:p w14:paraId="B57F220B">
      <w:pPr>
        <w:pStyle w:val="style0"/>
        <w:spacing w:before="0" w:after="0" w:lineRule="auto" w:line="276"/>
        <w:ind w:firstLine="576"/>
        <w:rPr/>
      </w:pPr>
      <w:r>
        <w:rPr>
          <w:rFonts w:ascii="Times New Roman" w:eastAsia="Times New Roman" w:hAnsi="Times New Roman"/>
          <w:sz w:val="24"/>
        </w:rPr>
        <w:t>The same structural pattern can be seen in scientific change. A field of inquiry often proceeds linearly for long stretches: it defines admissible objects, treats some observations as relevant and others as noise, and stabilizes acceptable results through recognized procedures. Within such a field, linear reasoning can be extraordinarily powerful. But when a major reconfiguration occurs, it is rarely produced by ordinary forward processing alone.</w:t>
      </w:r>
    </w:p>
    <w:p w14:paraId="D183E864">
      <w:pPr>
        <w:pStyle w:val="style0"/>
        <w:spacing w:before="0" w:after="0" w:lineRule="auto" w:line="276"/>
        <w:ind w:firstLine="576"/>
        <w:rPr/>
      </w:pPr>
      <w:r>
        <w:rPr>
          <w:rFonts w:ascii="Times New Roman" w:eastAsia="Times New Roman" w:hAnsi="Times New Roman"/>
          <w:sz w:val="24"/>
        </w:rPr>
        <w:t>An anomaly may first appear as error. An experimental breakdown may first appear as mere failure. A chance observation may first appear as irrelevant. In each case, the issue is not simply that a new fact has arrived. The issue is that the field does not yet know how to admit what has appeared. The new cannot be straightforwardly processed because the structure that governs admissibility has not yet changed. Recognition is delayed not only by ignorance, but by the prior organization of the field itself.</w:t>
      </w:r>
    </w:p>
    <w:p w14:paraId="88AB400B">
      <w:pPr>
        <w:pStyle w:val="style0"/>
        <w:spacing w:before="0" w:after="0" w:lineRule="auto" w:line="276"/>
        <w:ind w:firstLine="576"/>
        <w:rPr/>
      </w:pPr>
      <w:r>
        <w:rPr>
          <w:rFonts w:ascii="Times New Roman" w:eastAsia="Times New Roman" w:hAnsi="Times New Roman"/>
          <w:sz w:val="24"/>
        </w:rPr>
        <w:t>Only after a reorganization of admissibility can what first appeared accidental or unintelligible be taken up as a proper object of reasoning. At that stage, linear processing becomes possible again. A new field is stabilized, consequences are derived, evidence is compared, and the newly recognized order can then be reconstructed as rationally coherent. But the opening of that order was not itself the product of linear progression alone.</w:t>
      </w:r>
    </w:p>
    <w:p w14:paraId="CB2B450A">
      <w:pPr>
        <w:pStyle w:val="style0"/>
        <w:spacing w:before="280" w:after="80" w:lineRule="auto" w:line="276"/>
        <w:ind w:firstLine="0"/>
        <w:jc w:val="left"/>
        <w:rPr/>
      </w:pPr>
      <w:r>
        <w:rPr>
          <w:rFonts w:ascii="Times New Roman" w:eastAsia="Times New Roman" w:hAnsi="Times New Roman"/>
          <w:b/>
          <w:color w:val="2f67b2"/>
          <w:sz w:val="26"/>
        </w:rPr>
        <w:t>5. Guarantee as the Organizing Axis of Linear Circularity</w:t>
      </w:r>
    </w:p>
    <w:p w14:paraId="50EC1B8B">
      <w:pPr>
        <w:pStyle w:val="style0"/>
        <w:spacing w:before="0" w:after="0" w:lineRule="auto" w:line="276"/>
        <w:ind w:firstLine="576"/>
        <w:rPr/>
      </w:pPr>
      <w:r>
        <w:rPr>
          <w:rFonts w:ascii="Times New Roman" w:eastAsia="Times New Roman" w:hAnsi="Times New Roman"/>
          <w:b/>
          <w:sz w:val="24"/>
        </w:rPr>
        <w:t>5.1 Beyond Premise, Inference, and Conclusion</w:t>
      </w:r>
    </w:p>
    <w:p w14:paraId="22393513">
      <w:pPr>
        <w:pStyle w:val="style0"/>
        <w:spacing w:before="0" w:after="0" w:lineRule="auto" w:line="276"/>
        <w:ind w:firstLine="576"/>
        <w:rPr/>
      </w:pPr>
      <w:r>
        <w:rPr>
          <w:rFonts w:ascii="Times New Roman" w:eastAsia="Times New Roman" w:hAnsi="Times New Roman"/>
          <w:sz w:val="24"/>
        </w:rPr>
        <w:t>Linear reasoning is often described through the sequence premise, inference, and conclusion. This is not wrong, but it remains superficial. It identifies the visible syntax of the process without disclosing what makes the process possible. The deeper structure, as the preceding analyses suggest, is not inference alone, but guarantee.</w:t>
      </w:r>
    </w:p>
    <w:p w14:paraId="D1872A22">
      <w:pPr>
        <w:pStyle w:val="style0"/>
        <w:spacing w:before="0" w:after="0" w:lineRule="auto" w:line="276"/>
        <w:ind w:firstLine="576"/>
        <w:rPr/>
      </w:pPr>
      <w:r>
        <w:rPr>
          <w:rFonts w:ascii="Times New Roman" w:eastAsia="Times New Roman" w:hAnsi="Times New Roman"/>
          <w:sz w:val="24"/>
        </w:rPr>
        <w:t>Guarantee is what authorizes a beginning, secures a mode of processing, and permits a result to return as acceptable. Without guarantee, a premise would be a starting point without authority, a transition a movement without legitimacy, and a result an outcome without recognizable standing. Guarantee is therefore not an optional supplement added from outside the process. It is what silently makes the process possible from the start.</w:t>
      </w:r>
    </w:p>
    <w:p w14:paraId="086F350E">
      <w:pPr>
        <w:pStyle w:val="style0"/>
        <w:spacing w:before="0" w:after="0" w:lineRule="auto" w:line="276"/>
        <w:ind w:firstLine="576"/>
        <w:rPr/>
      </w:pPr>
      <w:r>
        <w:rPr>
          <w:rFonts w:ascii="Times New Roman" w:eastAsia="Times New Roman" w:hAnsi="Times New Roman"/>
          <w:sz w:val="24"/>
        </w:rPr>
        <w:t>To say that guarantee is the organizing axis of linear circularity is not to say that guarantee is always explicit. It often appears indirectly as what is taken for granted, what counts as obvious, what is treated as methodologically binding, or what is accepted as sufficient to begin. The important point is functional rather than psychological. Wherever a beginning must be licensed, a mode of treatment must be secured, and a result must be accepted as recognizable, guarantee is at work.</w:t>
      </w:r>
    </w:p>
    <w:p w14:paraId="E49267D7">
      <w:pPr>
        <w:pStyle w:val="style0"/>
        <w:spacing w:before="0" w:after="0" w:lineRule="auto" w:line="276"/>
        <w:ind w:firstLine="576"/>
        <w:rPr/>
      </w:pPr>
      <w:r>
        <w:rPr>
          <w:rFonts w:ascii="Times New Roman" w:eastAsia="Times New Roman" w:hAnsi="Times New Roman"/>
          <w:b/>
          <w:sz w:val="24"/>
        </w:rPr>
        <w:t>5.2 Guarantee as Beginning, Process, and Return</w:t>
      </w:r>
    </w:p>
    <w:p w14:paraId="A99183F4">
      <w:pPr>
        <w:pStyle w:val="style0"/>
        <w:spacing w:before="0" w:after="0" w:lineRule="auto" w:line="276"/>
        <w:ind w:firstLine="576"/>
        <w:rPr/>
      </w:pPr>
      <w:r>
        <w:rPr>
          <w:rFonts w:ascii="Times New Roman" w:eastAsia="Times New Roman" w:hAnsi="Times New Roman"/>
          <w:sz w:val="24"/>
        </w:rPr>
        <w:t>The first function of guarantee is to make a beginning admissible. Whether the beginning takes the form of a fact, an experience, a premise, a rule, or a distinction, it must already be secured enough to enter the process. Even positions that reject strong foundations still require some criterion of admissibility. They must still distinguish what may count as an intelligible starting point from what may not.</w:t>
      </w:r>
    </w:p>
    <w:p w14:paraId="159D814C">
      <w:pPr>
        <w:pStyle w:val="style0"/>
        <w:spacing w:before="0" w:after="0" w:lineRule="auto" w:line="276"/>
        <w:ind w:firstLine="576"/>
        <w:rPr/>
      </w:pPr>
      <w:r>
        <w:rPr>
          <w:rFonts w:ascii="Times New Roman" w:eastAsia="Times New Roman" w:hAnsi="Times New Roman"/>
          <w:sz w:val="24"/>
        </w:rPr>
        <w:t>The second function of guarantee is to govern processing. Once a beginning is admitted, the process can handle only what has been rendered processable within that guaranteed field. Judgment, derivation, comparison, and explanation all depend on this authorization. What cannot be processed under the existing guarantee is excluded, deferred, or treated as epistemically secondary.</w:t>
      </w:r>
    </w:p>
    <w:p w14:paraId="95CD3124">
      <w:pPr>
        <w:pStyle w:val="style0"/>
        <w:spacing w:before="0" w:after="0" w:lineRule="auto" w:line="276"/>
        <w:ind w:firstLine="576"/>
        <w:rPr/>
      </w:pPr>
      <w:r>
        <w:rPr>
          <w:rFonts w:ascii="Times New Roman" w:eastAsia="Times New Roman" w:hAnsi="Times New Roman"/>
          <w:sz w:val="24"/>
        </w:rPr>
        <w:t>The third function of guarantee is to govern return. A result counts as acceptable only insofar as it can re-enter the field of guarantee as something recognizable, permitted, and secured. This is why the deeper movement of linear reasoning is cyclical: it runs from guarantee, through guaranteed processing, and back to guarantee. A process may look like an outward advance, but its authority depends on a controlled return to the field that first licensed its operation.</w:t>
      </w:r>
    </w:p>
    <w:p w14:paraId="41AC8E89">
      <w:pPr>
        <w:pStyle w:val="style0"/>
        <w:spacing w:before="0" w:after="0" w:lineRule="auto" w:line="276"/>
        <w:ind w:firstLine="576"/>
        <w:rPr/>
      </w:pPr>
      <w:r>
        <w:rPr>
          <w:rFonts w:ascii="Times New Roman" w:eastAsia="Times New Roman" w:hAnsi="Times New Roman"/>
          <w:b/>
          <w:sz w:val="24"/>
        </w:rPr>
        <w:t>5.3 Why Content-Level Closure Follows</w:t>
      </w:r>
    </w:p>
    <w:p w14:paraId="0449B023">
      <w:pPr>
        <w:pStyle w:val="style0"/>
        <w:spacing w:before="0" w:after="0" w:lineRule="auto" w:line="276"/>
        <w:ind w:firstLine="576"/>
        <w:rPr/>
      </w:pPr>
      <w:r>
        <w:rPr>
          <w:rFonts w:ascii="Times New Roman" w:eastAsia="Times New Roman" w:hAnsi="Times New Roman"/>
          <w:sz w:val="24"/>
        </w:rPr>
        <w:t>Once this structure is in place, closure at the level of content becomes easier to understand. A process that can begin only from guaranteed starting points, handle only admissible objects, and return only recognizable results will tend to circle within its own authorized field. It will reject not only what it cannot process, but often also what would require a costly disturbance of its guarantees. In this way, structural closure at the level of admissibility produces content-level closure as an effect.</w:t>
      </w:r>
    </w:p>
    <w:p w14:paraId="7A7561A6">
      <w:pPr>
        <w:pStyle w:val="style0"/>
        <w:spacing w:before="0" w:after="0" w:lineRule="auto" w:line="276"/>
        <w:ind w:firstLine="576"/>
        <w:rPr/>
      </w:pPr>
      <w:r>
        <w:rPr>
          <w:rFonts w:ascii="Times New Roman" w:eastAsia="Times New Roman" w:hAnsi="Times New Roman"/>
          <w:sz w:val="24"/>
        </w:rPr>
        <w:t>This explains why repeated patterns of judgment and repeated forms of error can persist even in intelligent and reflective agents. The problem is not always that the contents are insufficient. It is often that the structure keeps transforming whatever appears into the same kind of admissible object, subjecting it to the same mode of processing, and returning it to the same field for recognition. Content-level repetition is therefore often downstream from structural repetition.</w:t>
      </w:r>
    </w:p>
    <w:p w14:paraId="59D9B7B4">
      <w:pPr>
        <w:pStyle w:val="style0"/>
        <w:spacing w:before="0" w:after="0" w:lineRule="auto" w:line="276"/>
        <w:ind w:firstLine="576"/>
        <w:rPr/>
      </w:pPr>
      <w:r>
        <w:rPr>
          <w:rFonts w:ascii="Times New Roman" w:eastAsia="Times New Roman" w:hAnsi="Times New Roman"/>
          <w:sz w:val="24"/>
        </w:rPr>
        <w:t>The same dynamic also explains why what first exceeds a field is commonly met with resistance. The issue is not merely that the new is unfamiliar. It is that the new threatens the guarantees that make the existing process possible. A structure may therefore resist not only what it cannot process, but also what it could process only at the price of disturbing its own conditions of security.</w:t>
      </w:r>
    </w:p>
    <w:p w14:paraId="62D95DC4">
      <w:pPr>
        <w:pStyle w:val="style0"/>
        <w:spacing w:before="0" w:after="0" w:lineRule="auto" w:line="276"/>
        <w:ind w:firstLine="576"/>
        <w:rPr/>
      </w:pPr>
      <w:r>
        <w:rPr>
          <w:rFonts w:ascii="Times New Roman" w:eastAsia="Times New Roman" w:hAnsi="Times New Roman"/>
          <w:b/>
          <w:sz w:val="24"/>
        </w:rPr>
        <w:t>5.4 Reassigning the Place of Linear Reasoning</w:t>
      </w:r>
    </w:p>
    <w:p w14:paraId="7BEE0B0B">
      <w:pPr>
        <w:pStyle w:val="style0"/>
        <w:spacing w:before="0" w:after="0" w:lineRule="auto" w:line="276"/>
        <w:ind w:firstLine="576"/>
        <w:rPr/>
      </w:pPr>
      <w:r>
        <w:rPr>
          <w:rFonts w:ascii="Times New Roman" w:eastAsia="Times New Roman" w:hAnsi="Times New Roman"/>
          <w:sz w:val="24"/>
        </w:rPr>
        <w:t>The conclusion to be drawn is not that reasoning should be abandoned. Linear reasoning remains indispensable for judgment, derivation, stabilization, comparison, communication, and cooperative inquiry. What must be rejected is not reasoning itself, but the inflation of its authority. A process that is structurally bounded by guarantee should not be treated as the sovereign source of what exceeds its own premises.</w:t>
      </w:r>
    </w:p>
    <w:p w14:paraId="08F1091C">
      <w:pPr>
        <w:pStyle w:val="style0"/>
        <w:spacing w:before="0" w:after="0" w:lineRule="auto" w:line="276"/>
        <w:ind w:firstLine="576"/>
        <w:rPr/>
      </w:pPr>
      <w:r>
        <w:rPr>
          <w:rFonts w:ascii="Times New Roman" w:eastAsia="Times New Roman" w:hAnsi="Times New Roman"/>
          <w:sz w:val="24"/>
        </w:rPr>
        <w:t>Linear reasoning should therefore be reassigned rather than discarded. Its proper place is narrower and more exact: it organizes, judges, derives, and stabilizes within an already guaranteed field. It can process what has become admissible. It cannot, by itself alone, produce what first lies beyond the scope of that admissibility. Where the field itself changes, something more than linear progression must already have occurred.</w:t>
      </w:r>
    </w:p>
    <w:p w14:paraId="53E76398">
      <w:pPr>
        <w:pStyle w:val="style0"/>
        <w:spacing w:before="0" w:after="0" w:lineRule="auto" w:line="276"/>
        <w:ind w:firstLine="576"/>
        <w:rPr/>
      </w:pPr>
      <w:r>
        <w:rPr>
          <w:rFonts w:ascii="Times New Roman" w:eastAsia="Times New Roman" w:hAnsi="Times New Roman"/>
          <w:sz w:val="24"/>
        </w:rPr>
        <w:t>This reassignment matters because modern thought often confuses what is indispensable with what is ultimate. Reasoning is indispensable because without it newly opened fields could not be stabilized, communicated, compared, and criticized. But that indispensable role does not make it sovereign over the emergence of the field itself. A process may be necessary for stabilization without being the origin of novelty. To mistake one for the other is precisely to inflate linear reasoning beyond its proper competence.</w:t>
      </w:r>
    </w:p>
    <w:p w14:paraId="9C1268A9">
      <w:pPr>
        <w:pStyle w:val="style0"/>
        <w:spacing w:before="0" w:after="0" w:lineRule="auto" w:line="276"/>
        <w:ind w:firstLine="576"/>
        <w:rPr/>
      </w:pPr>
      <w:r>
        <w:rPr>
          <w:rFonts w:ascii="Times New Roman" w:eastAsia="Times New Roman" w:hAnsi="Times New Roman"/>
          <w:b/>
          <w:sz w:val="24"/>
        </w:rPr>
        <w:t>5.5 Guarantee as Motive Force</w:t>
      </w:r>
    </w:p>
    <w:p w14:paraId="E7766562">
      <w:pPr>
        <w:pStyle w:val="style0"/>
        <w:spacing w:before="0" w:after="0" w:lineRule="auto" w:line="276"/>
        <w:ind w:firstLine="576"/>
        <w:rPr/>
      </w:pPr>
      <w:r>
        <w:rPr>
          <w:rFonts w:ascii="Times New Roman" w:eastAsia="Times New Roman" w:hAnsi="Times New Roman"/>
          <w:sz w:val="24"/>
        </w:rPr>
        <w:t>Guarantee does not operate only at the beginning and end of a process. It also operates as a motive force within the process itself. Thought continues to reason because the security of its beginnings and the acceptability of its results are never simply given once and for all. Distinctions are refined, systems are expanded, judgments are repeated, and explanations are elaborated because the field seeks not merely movement, but secured movement.</w:t>
      </w:r>
    </w:p>
    <w:p w14:paraId="6DCA629E">
      <w:pPr>
        <w:pStyle w:val="style0"/>
        <w:spacing w:before="0" w:after="0" w:lineRule="auto" w:line="276"/>
        <w:ind w:firstLine="576"/>
        <w:rPr/>
      </w:pPr>
      <w:r>
        <w:rPr>
          <w:rFonts w:ascii="Times New Roman" w:eastAsia="Times New Roman" w:hAnsi="Times New Roman"/>
          <w:sz w:val="24"/>
        </w:rPr>
        <w:t>This helps explain why linear reasoning can proliferate while remaining structurally bounded. Its activity is not evidence of unlimited generativity. It is often evidence of repeated work performed to secure, defend, and recover guarantee. The field reasons onward because it must continually preserve the authority of its own admissibility conditions. A process may therefore become highly complex without ceasing to be circular at the structural level.</w:t>
      </w:r>
    </w:p>
    <w:p w14:paraId="F437F9DB">
      <w:pPr>
        <w:pStyle w:val="style0"/>
        <w:spacing w:before="0" w:after="0" w:lineRule="auto" w:line="276"/>
        <w:ind w:firstLine="576"/>
        <w:rPr/>
      </w:pPr>
      <w:r>
        <w:rPr>
          <w:rFonts w:ascii="Times New Roman" w:eastAsia="Times New Roman" w:hAnsi="Times New Roman"/>
          <w:sz w:val="24"/>
        </w:rPr>
        <w:t>Seen in this light, even crisis can function as a stimulus to further linearization. When guarantees become unstable, a field may respond by multiplying distinctions, tightening procedures, codifying standards, or building higher-order frameworks of repair. These responses can be intellectually serious and productive. But they also show that the process is driven not only by the desire to know, but by the need to preserve the legitimacy under which knowing can continue.</w:t>
      </w:r>
    </w:p>
    <w:p w14:paraId="4AF023CA">
      <w:pPr>
        <w:pStyle w:val="style0"/>
        <w:spacing w:before="0" w:after="0" w:lineRule="auto" w:line="276"/>
        <w:ind w:firstLine="576"/>
        <w:rPr/>
      </w:pPr>
      <w:r>
        <w:rPr>
          <w:rFonts w:ascii="Times New Roman" w:eastAsia="Times New Roman" w:hAnsi="Times New Roman"/>
          <w:b/>
          <w:sz w:val="24"/>
        </w:rPr>
        <w:t>5.6 Why Reassignment Is Stronger Than Rejection</w:t>
      </w:r>
    </w:p>
    <w:p w14:paraId="F30A6861">
      <w:pPr>
        <w:pStyle w:val="style0"/>
        <w:spacing w:before="0" w:after="0" w:lineRule="auto" w:line="276"/>
        <w:ind w:firstLine="576"/>
        <w:rPr/>
      </w:pPr>
      <w:r>
        <w:rPr>
          <w:rFonts w:ascii="Times New Roman" w:eastAsia="Times New Roman" w:hAnsi="Times New Roman"/>
          <w:sz w:val="24"/>
        </w:rPr>
        <w:t>The proposal advanced here is sometimes liable to misunderstanding. To say that linear reasoning is structurally limited is not to say that it is dispensable, deceptive in every use, or inferior to all non-linear processes. Such conclusions would merely reverse the hierarchy without clarifying it. The point is rather that linear reasoning becomes philosophically distorted when asked to serve as the sole image of knowledge production.</w:t>
      </w:r>
    </w:p>
    <w:p w14:paraId="50464451">
      <w:pPr>
        <w:pStyle w:val="style0"/>
        <w:spacing w:before="0" w:after="0" w:lineRule="auto" w:line="276"/>
        <w:ind w:firstLine="576"/>
        <w:rPr/>
      </w:pPr>
      <w:r>
        <w:rPr>
          <w:rFonts w:ascii="Times New Roman" w:eastAsia="Times New Roman" w:hAnsi="Times New Roman"/>
          <w:sz w:val="24"/>
        </w:rPr>
        <w:t>Reassignment is stronger than rejection because it preserves what linear reasoning actually does well. It can stabilize what has appeared, criticize weak transitions, compare alternatives within a field, and make results communicable and contestable. These are not secondary in the sense of being unimportant. They are secondary in the sense that they presuppose a field whose admissibility is already in place. To reassign reasoning is therefore not to diminish its importance, but to free it from a false sovereignty.</w:t>
      </w:r>
    </w:p>
    <w:p w14:paraId="D11CBF38">
      <w:pPr>
        <w:pStyle w:val="style0"/>
        <w:spacing w:before="0" w:after="0" w:lineRule="auto" w:line="276"/>
        <w:ind w:firstLine="576"/>
        <w:rPr/>
      </w:pPr>
      <w:r>
        <w:rPr>
          <w:rFonts w:ascii="Times New Roman" w:eastAsia="Times New Roman" w:hAnsi="Times New Roman"/>
          <w:sz w:val="24"/>
        </w:rPr>
        <w:t>Once that sovereignty is withdrawn, the relation between reasoning and novelty becomes easier to describe. Novelty need not be mystified as irrational, nor prematurely reduced to what linear reasoning can already reconstruct. It can instead be understood as what first presses against the limits of admissibility, and what only later becomes available for orderly judgment or derivation. In this way, the distinction between opening and stabilization becomes philosophically visible without reducing one to the other.</w:t>
      </w:r>
    </w:p>
    <w:p w14:paraId="AEE2C228">
      <w:pPr>
        <w:pStyle w:val="style0"/>
        <w:spacing w:before="0" w:after="0" w:lineRule="auto" w:line="276"/>
        <w:ind w:firstLine="576"/>
        <w:rPr/>
      </w:pPr>
      <w:r>
        <w:rPr>
          <w:rFonts w:ascii="Times New Roman" w:eastAsia="Times New Roman" w:hAnsi="Times New Roman"/>
          <w:b/>
          <w:sz w:val="24"/>
        </w:rPr>
        <w:t>Conclusion</w:t>
      </w:r>
    </w:p>
    <w:p w14:paraId="65B3E83F">
      <w:pPr>
        <w:pStyle w:val="style0"/>
        <w:spacing w:before="0" w:after="0" w:lineRule="auto" w:line="276"/>
        <w:ind w:firstLine="576"/>
        <w:rPr/>
      </w:pPr>
      <w:r>
        <w:rPr>
          <w:rFonts w:ascii="Times New Roman" w:eastAsia="Times New Roman" w:hAnsi="Times New Roman"/>
          <w:sz w:val="24"/>
        </w:rPr>
        <w:t>This paper has argued that a broad range of linear reasoning is better understood as linear circularity. The point is not that linear reasoning is simply circular argument, nor that it is invalid as reasoning. The point is that its apparent forward movement depends on a prior structure of guarantee that determines what may count as an admissible beginning, what may count as legitimate processing, and what may return as an acceptable result.</w:t>
      </w:r>
    </w:p>
    <w:p w14:paraId="A9B93891">
      <w:pPr>
        <w:pStyle w:val="style0"/>
        <w:spacing w:before="0" w:after="0" w:lineRule="auto" w:line="276"/>
        <w:ind w:firstLine="576"/>
        <w:rPr/>
      </w:pPr>
      <w:r>
        <w:rPr>
          <w:rFonts w:ascii="Times New Roman" w:eastAsia="Times New Roman" w:hAnsi="Times New Roman"/>
          <w:sz w:val="24"/>
        </w:rPr>
        <w:t>From this perspective, empiricism and rationalism are not first opposed by content. They are first comparable in structure. Empiricism proceeds by judgment on experience already mediated into admissible fact-like content. Rationalism proceeds by derivation from premises already rendered admissible to rule-governed treatment. Their operations differ, but both move from guarantee, through guaranteed processing, and back to guarantee.</w:t>
      </w:r>
    </w:p>
    <w:p w14:paraId="C7129497">
      <w:pPr>
        <w:pStyle w:val="style0"/>
        <w:spacing w:before="0" w:after="0" w:lineRule="auto" w:line="276"/>
        <w:ind w:firstLine="576"/>
        <w:rPr/>
      </w:pPr>
      <w:r>
        <w:rPr>
          <w:rFonts w:ascii="Times New Roman" w:eastAsia="Times New Roman" w:hAnsi="Times New Roman"/>
          <w:sz w:val="24"/>
        </w:rPr>
        <w:t>Skepticism and Hegelian dialectic reveal, from different sides, the limits of this structure. Skepticism shows that fact-like beginnings cannot fully secure themselves. Dialectic shows that static derivation cannot remain sufficient when movement, contradiction, and development must be handled. Both indicate that linear reasoning depends on guarantee more deeply than its own ordinary self-understanding admits.</w:t>
      </w:r>
    </w:p>
    <w:p w14:paraId="02337667">
      <w:pPr>
        <w:pStyle w:val="style0"/>
        <w:spacing w:before="0" w:after="0" w:lineRule="auto" w:line="276"/>
        <w:ind w:firstLine="576"/>
        <w:rPr/>
      </w:pPr>
      <w:r>
        <w:rPr>
          <w:rFonts w:ascii="Times New Roman" w:eastAsia="Times New Roman" w:hAnsi="Times New Roman"/>
          <w:sz w:val="24"/>
        </w:rPr>
        <w:t>The broader implication is that many forms of closure arise not first at the level of explicit doctrine, but at the level of admissibility itself. Thought tends to process what its guarantees already permit and to return its results to the same field for recognition. This is why linear reasoning can be powerful without being generative in the strong sense. It can derive, judge, organize, and stabilize within its field. But if it seems to produce what exceeds its premises, then either the premises have changed, or the process is no longer purely linear.</w:t>
      </w:r>
    </w:p>
    <w:p w14:paraId="611BD09C">
      <w:pPr>
        <w:pStyle w:val="style0"/>
        <w:spacing w:before="0" w:after="0" w:lineRule="auto" w:line="276"/>
        <w:ind w:firstLine="576"/>
        <w:rPr/>
      </w:pPr>
      <w:r>
        <w:rPr>
          <w:rFonts w:ascii="Times New Roman" w:eastAsia="Times New Roman" w:hAnsi="Times New Roman"/>
          <w:sz w:val="24"/>
        </w:rPr>
        <w:t>What this paper proposes, therefore, is not a rejection of reasoning but a correction of its self-image. Linear reasoning remains necessary, but its necessity should not be confused with sovereignty. Its strength lies in what it can do within a guaranteed field. Its limit lies in the fact that it cannot, by itself alone, generate what first exceeds that field.</w:t>
      </w:r>
    </w:p>
    <w:p w14:paraId="80DB2A58">
      <w:pPr>
        <w:pStyle w:val="style0"/>
        <w:spacing w:before="0" w:after="0" w:lineRule="auto" w:line="276"/>
        <w:ind w:firstLine="576"/>
        <w:rPr/>
      </w:pPr>
      <w:r>
        <w:rPr>
          <w:rFonts w:ascii="Times New Roman" w:eastAsia="Times New Roman" w:hAnsi="Times New Roman"/>
          <w:sz w:val="24"/>
        </w:rPr>
        <w:t>This correction also clarifies why the paper has treated philosophical positions and wider cognitive habits within the same framework. The issue is not first what this or that doctrine says. It is how a process secures its beginning, handles its objects, and returns its results for recognition. Wherever that structure runs from guarantee, through guaranteed processing, and back to guarantee, linear circularity is at work.</w:t>
      </w:r>
    </w:p>
    <w:p w14:paraId="28A7CEC9">
      <w:pPr>
        <w:pStyle w:val="style0"/>
        <w:spacing w:before="0" w:after="0" w:lineRule="auto" w:line="276"/>
        <w:ind w:firstLine="576"/>
        <w:rPr/>
      </w:pPr>
      <w:r>
        <w:rPr>
          <w:rFonts w:ascii="Times New Roman" w:eastAsia="Times New Roman" w:hAnsi="Times New Roman"/>
          <w:sz w:val="24"/>
        </w:rPr>
        <w:t>To recognize this limit is not to celebrate disorder or to dismiss standards of legitimacy. It is to distinguish more carefully between what stabilizes a field and what first opens one. Linear reasoning remains essential to the former. The latter cannot be explained by linear reasoning alone.</w:t>
      </w:r>
    </w:p>
    <w:p w14:paraId="DBFE6E03">
      <w:pPr>
        <w:pStyle w:val="style1"/>
        <w:spacing w:before="280" w:after="120" w:lineRule="auto" w:line="276"/>
        <w:ind w:firstLine="0"/>
        <w:jc w:val="left"/>
        <w:rPr/>
      </w:pPr>
      <w:r>
        <w:rPr>
          <w:rFonts w:ascii="Times New Roman" w:eastAsia="Times New Roman" w:hAnsi="Times New Roman"/>
          <w:b/>
          <w:color w:val="2f67b2"/>
          <w:sz w:val="28"/>
        </w:rPr>
        <w:t>Notes</w:t>
      </w:r>
    </w:p>
    <w:p w14:paraId="FE1D80E3">
      <w:pPr>
        <w:pStyle w:val="style0"/>
        <w:spacing w:before="200" w:after="80" w:lineRule="auto" w:line="276"/>
        <w:ind w:firstLine="0"/>
        <w:jc w:val="left"/>
        <w:rPr/>
      </w:pPr>
      <w:r>
        <w:rPr>
          <w:rFonts w:ascii="Times New Roman" w:eastAsia="Times New Roman" w:hAnsi="Times New Roman"/>
          <w:b/>
          <w:sz w:val="24"/>
        </w:rPr>
        <w:t>1. Compare Martin Heidegger, Being and Time, trans. John Macquarrie and Edward Robinson (New York: Harper &amp; Row, 1962), and Hans-Georg Gadamer, Truth and Method, 2nd rev. ed. (New York: Continuum, 1989).</w:t>
      </w:r>
    </w:p>
    <w:p w14:paraId="EFA3898A">
      <w:pPr>
        <w:pStyle w:val="style0"/>
        <w:spacing w:before="200" w:after="80" w:lineRule="auto" w:line="276"/>
        <w:ind w:firstLine="0"/>
        <w:jc w:val="left"/>
        <w:rPr/>
      </w:pPr>
      <w:r>
        <w:rPr>
          <w:rFonts w:ascii="Times New Roman" w:eastAsia="Times New Roman" w:hAnsi="Times New Roman"/>
          <w:b/>
          <w:sz w:val="24"/>
        </w:rPr>
        <w:t>2. On anomaly, salience, and field-reorganization in scientific inquiry, see N. R. Hanson, Patterns of Discovery: An Inquiry into the Conceptual Foundations of Science (Cambridge: Cambridge University Press, 1958), and Thomas S. Kuhn, The Structure of Scientific Revolutions, 4th ed. (Chicago: University of Chicago Press, 2012).</w:t>
      </w:r>
    </w:p>
    <w:p w14:paraId="1178E2A9">
      <w:pPr>
        <w:pStyle w:val="style0"/>
        <w:spacing w:before="200" w:after="80" w:lineRule="auto" w:line="276"/>
        <w:ind w:firstLine="0"/>
        <w:jc w:val="left"/>
        <w:rPr/>
      </w:pPr>
      <w:r>
        <w:rPr>
          <w:rFonts w:ascii="Times New Roman" w:eastAsia="Times New Roman" w:hAnsi="Times New Roman"/>
          <w:b/>
          <w:sz w:val="24"/>
        </w:rPr>
        <w:t>3. On the critique of the given and the mediated status of observational content, see Wilfrid Sellars, Empiricism and the Philosophy of Mind (Cambridge, MA: Harvard University Press, 1997); Hanson, Patterns of Discovery; and Kuhn, The Structure of Scientific Revolutions.</w:t>
      </w:r>
    </w:p>
    <w:p w14:paraId="2B612923">
      <w:pPr>
        <w:pStyle w:val="style0"/>
        <w:spacing w:before="200" w:after="80" w:lineRule="auto" w:line="276"/>
        <w:ind w:firstLine="0"/>
        <w:jc w:val="left"/>
        <w:rPr/>
      </w:pPr>
      <w:r>
        <w:rPr>
          <w:rFonts w:ascii="Times New Roman" w:eastAsia="Times New Roman" w:hAnsi="Times New Roman"/>
          <w:b/>
          <w:sz w:val="24"/>
        </w:rPr>
        <w:t>4. See G. W. F. Hegel, Phenomenology of Spirit, trans. A. V. Miller (Oxford: Oxford University Press, 1977).</w:t>
      </w:r>
    </w:p>
    <w:p w14:paraId="AE779690">
      <w:pPr>
        <w:pStyle w:val="style0"/>
        <w:spacing w:before="280" w:after="120" w:lineRule="auto" w:line="276"/>
        <w:ind w:firstLine="0"/>
        <w:jc w:val="left"/>
        <w:rPr/>
      </w:pPr>
      <w:r>
        <w:rPr>
          <w:rFonts w:ascii="Times New Roman" w:eastAsia="Times New Roman" w:hAnsi="Times New Roman"/>
          <w:b/>
          <w:color w:val="2f67b2"/>
          <w:sz w:val="28"/>
        </w:rPr>
        <w:t>References</w:t>
      </w:r>
    </w:p>
    <w:p w14:paraId="5DB0FE08">
      <w:pPr>
        <w:pStyle w:val="style0"/>
        <w:spacing w:before="0" w:after="0" w:lineRule="auto" w:line="276"/>
        <w:ind w:firstLine="576"/>
        <w:rPr/>
      </w:pPr>
      <w:r>
        <w:rPr>
          <w:rFonts w:ascii="Times New Roman" w:eastAsia="Times New Roman" w:hAnsi="Times New Roman"/>
          <w:sz w:val="24"/>
        </w:rPr>
        <w:t>Gadamer, Hans-Georg. Truth and Method. 2nd rev. ed. New York: Continuum, 1989.</w:t>
      </w:r>
    </w:p>
    <w:p w14:paraId="19E8C048">
      <w:pPr>
        <w:pStyle w:val="style0"/>
        <w:spacing w:before="0" w:after="0" w:lineRule="auto" w:line="276"/>
        <w:ind w:firstLine="576"/>
        <w:rPr/>
      </w:pPr>
      <w:r>
        <w:rPr>
          <w:rFonts w:ascii="Times New Roman" w:eastAsia="Times New Roman" w:hAnsi="Times New Roman"/>
          <w:sz w:val="24"/>
        </w:rPr>
        <w:t>Hanson, N. R. Patterns of Discovery: An Inquiry into the Conceptual Foundations of Science. Cambridge: Cambridge University Press, 1958.</w:t>
      </w:r>
    </w:p>
    <w:p w14:paraId="2B5A9DF5">
      <w:pPr>
        <w:pStyle w:val="style0"/>
        <w:spacing w:before="0" w:after="0" w:lineRule="auto" w:line="276"/>
        <w:ind w:firstLine="576"/>
        <w:rPr/>
      </w:pPr>
      <w:r>
        <w:rPr>
          <w:rFonts w:ascii="Times New Roman" w:eastAsia="Times New Roman" w:hAnsi="Times New Roman"/>
          <w:sz w:val="24"/>
        </w:rPr>
        <w:t>Heidegger, Martin. Being and Time. Translated by John Macquarrie and Edward Robinson. New York: Harper &amp; Row, 1962.</w:t>
      </w:r>
    </w:p>
    <w:p w14:paraId="35F52E2C">
      <w:pPr>
        <w:pStyle w:val="style0"/>
        <w:spacing w:before="0" w:after="0" w:lineRule="auto" w:line="276"/>
        <w:ind w:firstLine="576"/>
        <w:rPr/>
      </w:pPr>
      <w:r>
        <w:rPr>
          <w:rFonts w:ascii="Times New Roman" w:eastAsia="Times New Roman" w:hAnsi="Times New Roman"/>
          <w:sz w:val="24"/>
        </w:rPr>
        <w:t>Hegel, G. W. F. Phenomenology of Spirit. Translated by A. V. Miller. Oxford: Oxford University Press, 1977.</w:t>
      </w:r>
    </w:p>
    <w:p w14:paraId="E02CFEB3">
      <w:pPr>
        <w:pStyle w:val="style0"/>
        <w:spacing w:before="0" w:after="0" w:lineRule="auto" w:line="276"/>
        <w:ind w:firstLine="576"/>
        <w:rPr/>
      </w:pPr>
      <w:r>
        <w:rPr>
          <w:rFonts w:ascii="Times New Roman" w:eastAsia="Times New Roman" w:hAnsi="Times New Roman"/>
          <w:sz w:val="24"/>
        </w:rPr>
        <w:t>Kuhn, Thomas S. The Structure of Scientific Revolutions. 4th ed. Chicago: University of Chicago Press, 2012.</w:t>
      </w:r>
    </w:p>
    <w:p w14:paraId="2F42529F">
      <w:pPr>
        <w:pStyle w:val="style0"/>
        <w:spacing w:before="0" w:after="0" w:lineRule="auto" w:line="276"/>
        <w:ind w:firstLine="576"/>
        <w:rPr/>
      </w:pPr>
      <w:r>
        <w:rPr>
          <w:rFonts w:ascii="Times New Roman" w:eastAsia="Times New Roman" w:hAnsi="Times New Roman"/>
          <w:sz w:val="24"/>
        </w:rPr>
        <w:t>Sellars, Wilfrid. Empiricism and the Philosophy of Mind. Cambridge, MA: Harvard University Press, 1997.</w:t>
      </w:r>
    </w:p>
    <w:sectPr>
      <w:headerReference w:type="default" r:id="rId2"/>
      <w:footerReference w:type="default" r:id="rId3"/>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0000000000000000000"/>
    <w:charset w:val="02"/>
    <w:family w:val="auto"/>
    <w:pitch w:val="variable"/>
    <w:sig w:usb0="00000000" w:usb1="10000000" w:usb2="00000000" w:usb3="00000000" w:csb0="80000000" w:csb1="00000000"/>
  </w:font>
  <w:font w:name="Times New Roman">
    <w:altName w:val="Times New Roman"/>
    <w:panose1 w:val="02020603050004020304"/>
    <w:charset w:val="00"/>
    <w:family w:val="auto"/>
    <w:pitch w:val="variable"/>
    <w:sig w:usb0="E0002AFF" w:usb1="C0007841" w:usb2="00000009" w:usb3="00000000" w:csb0="000001FF" w:csb1="00000000"/>
  </w:font>
  <w:font w:name="Cambria">
    <w:altName w:val="Cambria"/>
    <w:panose1 w:val="02040503050004030204"/>
    <w:charset w:val="00"/>
    <w:family w:val="auto"/>
    <w:pitch w:val="variable"/>
    <w:sig w:usb0="E00002FF" w:usb1="400004FF" w:usb2="00000000" w:usb3="00000000" w:csb0="0000019F" w:csb1="00000000"/>
  </w:font>
  <w:font w:name="ＭＳ 明朝">
    <w:altName w:val="ＭＳ 明朝"/>
    <w:panose1 w:val="00000000000000000000"/>
    <w:charset w:val="80"/>
    <w:family w:val="roman"/>
    <w:pitch w:val="fixed"/>
    <w:sig w:usb0="00000001" w:usb1="08070000" w:usb2="00000010" w:usb3="00000000" w:csb0="00020000" w:csb1="00000000"/>
  </w:font>
  <w:font w:name="Calibri">
    <w:altName w:val="Calibri"/>
    <w:panose1 w:val="020f0502020002030204"/>
    <w:charset w:val="00"/>
    <w:family w:val="auto"/>
    <w:pitch w:val="variable"/>
    <w:sig w:usb0="E10002FF" w:usb1="4000ACFF" w:usb2="00000009" w:usb3="00000000" w:csb0="0000019F" w:csb1="00000000"/>
  </w:font>
  <w:font w:name="ＭＳ ゴシック">
    <w:altName w:val="ＭＳ ゴシック"/>
    <w:panose1 w:val="00000000000000000000"/>
    <w:charset w:val="80"/>
    <w:family w:val="modern"/>
    <w:pitch w:val="fixed"/>
    <w:sig w:usb0="00000001" w:usb1="08070000" w:usb2="00000010" w:usb3="00000000" w:csb0="00020000" w:csb1="00000000"/>
  </w:font>
  <w:font w:name="Courier">
    <w:altName w:val="Courier"/>
    <w:panose1 w:val="02000500000000000000"/>
    <w:charset w:val="00"/>
    <w:family w:val="auto"/>
    <w:pitch w:val="variable"/>
    <w:sig w:usb0="00000003" w:usb1="00000000" w:usb2="00000000" w:usb3="00000000" w:csb0="00000001" w:csb1="00000000"/>
  </w:font>
  <w:font w:name="Arial">
    <w:altName w:val="Arial"/>
    <w:panose1 w:val="020b0604020002020204"/>
    <w:charset w:val="00"/>
    <w:family w:val="auto"/>
    <w:pitch w:val="variable"/>
    <w:sig w:usb0="E0002AFF" w:usb1="C0007843" w:usb2="00000009" w:usb3="00000000" w:csb0="000001F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D1BB7835">
    <w:pPr>
      <w:pStyle w:val="style32"/>
      <w:jc w:val="center"/>
      <w:rPr/>
    </w:pPr>
    <w:r>
      <w:rPr>
        <w:rFonts w:ascii="Times New Roman" w:eastAsia="Times New Roman" w:hAnsi="Times New Roman"/>
        <w:sz w:val="24"/>
      </w:rPr>
      <w:fldChar w:fldCharType="begin"/>
    </w:r>
    <w:r>
      <w:rPr>
        <w:rFonts w:ascii="Times New Roman" w:eastAsia="Times New Roman" w:hAnsi="Times New Roman"/>
        <w:sz w:val="24"/>
      </w:rPr>
      <w:instrText>PAGE</w:instrText>
    </w:r>
    <w:r>
      <w:rPr>
        <w:rFonts w:ascii="Times New Roman" w:eastAsia="Times New Roman" w:hAnsi="Times New Roman"/>
        <w:sz w:val="24"/>
      </w:rPr>
      <w:fldChar w:fldCharType="end"/>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7435B100">
    <w:pPr>
      <w:pStyle w:val="style31"/>
      <w:jc w:val="r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C310EC42"/>
    <w:lvl w:ilvl="0">
      <w:start w:val="1"/>
      <w:numFmt w:val="decimal"/>
      <w:lvlText w:val="%1."/>
      <w:lvlJc w:val="left"/>
      <w:pPr>
        <w:tabs>
          <w:tab w:val="left" w:leader="none" w:pos="1800"/>
        </w:tabs>
        <w:ind w:left="1800" w:hanging="360"/>
      </w:pPr>
    </w:lvl>
  </w:abstractNum>
  <w:abstractNum w:abstractNumId="1">
    <w:nsid w:val="00000001"/>
    <w:multiLevelType w:val="singleLevel"/>
    <w:tmpl w:val="E4089024"/>
    <w:lvl w:ilvl="0">
      <w:start w:val="1"/>
      <w:numFmt w:val="decimal"/>
      <w:lvlText w:val="%1."/>
      <w:lvlJc w:val="left"/>
      <w:pPr>
        <w:tabs>
          <w:tab w:val="left" w:leader="none" w:pos="1440"/>
        </w:tabs>
        <w:ind w:left="1440" w:hanging="360"/>
      </w:pPr>
    </w:lvl>
  </w:abstractNum>
  <w:abstractNum w:abstractNumId="2">
    <w:nsid w:val="00000002"/>
    <w:multiLevelType w:val="singleLevel"/>
    <w:tmpl w:val="FB12693A"/>
    <w:lvl w:ilvl="0">
      <w:start w:val="1"/>
      <w:numFmt w:val="decimal"/>
      <w:pStyle w:val="style59"/>
      <w:lvlText w:val="%1."/>
      <w:lvlJc w:val="left"/>
      <w:pPr>
        <w:tabs>
          <w:tab w:val="left" w:leader="none" w:pos="1080"/>
        </w:tabs>
        <w:ind w:left="1080" w:hanging="360"/>
      </w:pPr>
    </w:lvl>
  </w:abstractNum>
  <w:abstractNum w:abstractNumId="3">
    <w:nsid w:val="00000003"/>
    <w:multiLevelType w:val="singleLevel"/>
    <w:tmpl w:val="38441652"/>
    <w:lvl w:ilvl="0">
      <w:start w:val="1"/>
      <w:numFmt w:val="decimal"/>
      <w:pStyle w:val="style58"/>
      <w:lvlText w:val="%1."/>
      <w:lvlJc w:val="left"/>
      <w:pPr>
        <w:tabs>
          <w:tab w:val="left" w:leader="none" w:pos="720"/>
        </w:tabs>
        <w:ind w:left="720" w:hanging="360"/>
      </w:pPr>
    </w:lvl>
  </w:abstractNum>
  <w:abstractNum w:abstractNumId="4">
    <w:nsid w:val="00000004"/>
    <w:multiLevelType w:val="singleLevel"/>
    <w:tmpl w:val="171AC3A4"/>
    <w:lvl w:ilvl="0">
      <w:start w:val="1"/>
      <w:numFmt w:val="bullet"/>
      <w:lvlText w:val=""/>
      <w:lvlJc w:val="left"/>
      <w:pPr>
        <w:tabs>
          <w:tab w:val="left" w:leader="none" w:pos="1440"/>
        </w:tabs>
        <w:ind w:left="1440" w:hanging="360"/>
      </w:pPr>
      <w:rPr>
        <w:rFonts w:ascii="Symbol" w:hAnsi="Symbol" w:hint="default"/>
      </w:rPr>
    </w:lvl>
  </w:abstractNum>
  <w:abstractNum w:abstractNumId="5">
    <w:nsid w:val="00000005"/>
    <w:multiLevelType w:val="singleLevel"/>
    <w:tmpl w:val="F3EAFDEC"/>
    <w:lvl w:ilvl="0">
      <w:start w:val="1"/>
      <w:numFmt w:val="bullet"/>
      <w:pStyle w:val="style55"/>
      <w:lvlText w:val=""/>
      <w:lvlJc w:val="left"/>
      <w:pPr>
        <w:tabs>
          <w:tab w:val="left" w:leader="none" w:pos="1080"/>
        </w:tabs>
        <w:ind w:left="1080" w:hanging="360"/>
      </w:pPr>
      <w:rPr>
        <w:rFonts w:ascii="Symbol" w:hAnsi="Symbol" w:hint="default"/>
      </w:rPr>
    </w:lvl>
  </w:abstractNum>
  <w:abstractNum w:abstractNumId="6">
    <w:nsid w:val="00000006"/>
    <w:multiLevelType w:val="singleLevel"/>
    <w:tmpl w:val="3D1EFFD4"/>
    <w:lvl w:ilvl="0">
      <w:start w:val="1"/>
      <w:numFmt w:val="bullet"/>
      <w:pStyle w:val="style54"/>
      <w:lvlText w:val=""/>
      <w:lvlJc w:val="left"/>
      <w:pPr>
        <w:tabs>
          <w:tab w:val="left" w:leader="none" w:pos="720"/>
        </w:tabs>
        <w:ind w:left="720" w:hanging="360"/>
      </w:pPr>
      <w:rPr>
        <w:rFonts w:ascii="Symbol" w:hAnsi="Symbol" w:hint="default"/>
      </w:rPr>
    </w:lvl>
  </w:abstractNum>
  <w:abstractNum w:abstractNumId="7">
    <w:nsid w:val="00000007"/>
    <w:multiLevelType w:val="singleLevel"/>
    <w:tmpl w:val="D0A62B40"/>
    <w:lvl w:ilvl="0">
      <w:start w:val="1"/>
      <w:numFmt w:val="decimal"/>
      <w:pStyle w:val="style49"/>
      <w:lvlText w:val="%1."/>
      <w:lvlJc w:val="left"/>
      <w:pPr>
        <w:tabs>
          <w:tab w:val="left" w:leader="none" w:pos="360"/>
        </w:tabs>
        <w:ind w:left="360" w:hanging="360"/>
      </w:pPr>
    </w:lvl>
  </w:abstractNum>
  <w:abstractNum w:abstractNumId="8">
    <w:nsid w:val="00000008"/>
    <w:multiLevelType w:val="singleLevel"/>
    <w:tmpl w:val="29761A62"/>
    <w:lvl w:ilvl="0">
      <w:start w:val="1"/>
      <w:numFmt w:val="bullet"/>
      <w:pStyle w:val="style48"/>
      <w:lvlText w:val=""/>
      <w:lvlJc w:val="left"/>
      <w:pPr>
        <w:tabs>
          <w:tab w:val="left" w:leader="none" w:pos="360"/>
        </w:tabs>
        <w:ind w:left="360" w:hanging="360"/>
      </w:pPr>
      <w:rPr>
        <w:rFonts w:ascii="Symbol" w:hAnsi="Symbol" w:hint="default"/>
      </w:rPr>
    </w:lvl>
  </w:abstractNum>
  <w:num w:numId="1">
    <w:abstractNumId w:val="8"/>
  </w:num>
  <w:num w:numId="2">
    <w:abstractNumId w:val="6"/>
  </w:num>
  <w:num w:numId="3">
    <w:abstractNumId w:val="5"/>
  </w:num>
  <w:num w:numId="4">
    <w:abstractNumId w:val="7"/>
  </w:num>
  <w:num w:numId="5">
    <w:abstractNumId w:val="3"/>
  </w:num>
  <w:num w:numId="6">
    <w:abstractNumId w:val="2"/>
  </w:num>
  <w:num w:numId="7">
    <w:abstractNumId w:val="4"/>
  </w:num>
  <w:num w:numId="8">
    <w:abstractNumId w:val="1"/>
  </w:num>
  <w:num w:numId="9">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val="bestFit"/>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mbria" w:cs="宋体" w:eastAsia="ＭＳ 明朝" w:hAnsi="Cambria"/>
        <w:sz w:val="22"/>
        <w:szCs w:val="22"/>
        <w:lang w:val="en-US" w:bidi="ar-SA" w:eastAsia="en-US"/>
      </w:rPr>
    </w:rPrDefault>
    <w:pPrDefault>
      <w:pPr>
        <w:spacing w:after="200" w:lineRule="auto" w:line="276"/>
      </w:pPr>
    </w:pPrDefault>
  </w:docDefaults>
  <w:style w:type="paragraph" w:default="1" w:styleId="style0">
    <w:name w:val="Normal"/>
    <w:next w:val="style0"/>
    <w:qFormat/>
    <w:pPr>
      <w:spacing w:before="0" w:after="0" w:lineRule="auto" w:line="276"/>
      <w:ind w:firstLine="432"/>
    </w:pPr>
    <w:rPr>
      <w:rFonts w:ascii="Times New Roman" w:eastAsia="Times New Roman" w:hAnsi="Times New Roman"/>
      <w:sz w:val="24"/>
    </w:rPr>
  </w:style>
  <w:style w:type="paragraph" w:styleId="style31">
    <w:name w:val="header"/>
    <w:basedOn w:val="style0"/>
    <w:next w:val="style31"/>
    <w:link w:val="style4097"/>
    <w:uiPriority w:val="99"/>
    <w:pPr>
      <w:tabs>
        <w:tab w:val="center" w:leader="none" w:pos="4680"/>
        <w:tab w:val="right" w:leader="none" w:pos="9360"/>
      </w:tabs>
      <w:spacing w:after="0" w:lineRule="auto" w:line="240"/>
    </w:pPr>
    <w:rPr/>
  </w:style>
  <w:style w:type="character" w:customStyle="1" w:styleId="style4097">
    <w:name w:val="Header Char_a6b30494-98d0-4191-ae04-a3b0837a9bdb"/>
    <w:basedOn w:val="style65"/>
    <w:next w:val="style4097"/>
    <w:link w:val="style31"/>
    <w:uiPriority w:val="99"/>
  </w:style>
  <w:style w:type="paragraph" w:styleId="style32">
    <w:name w:val="footer"/>
    <w:basedOn w:val="style0"/>
    <w:next w:val="style32"/>
    <w:link w:val="style4098"/>
    <w:uiPriority w:val="99"/>
    <w:pPr>
      <w:tabs>
        <w:tab w:val="center" w:leader="none" w:pos="4680"/>
        <w:tab w:val="right" w:leader="none" w:pos="9360"/>
      </w:tabs>
      <w:spacing w:after="0" w:lineRule="auto" w:line="240"/>
    </w:pPr>
    <w:rPr/>
  </w:style>
  <w:style w:type="character" w:customStyle="1" w:styleId="style4098">
    <w:name w:val="Footer Char_0edf33fb-8021-4619-96e1-5f8ef29f192a"/>
    <w:basedOn w:val="style65"/>
    <w:next w:val="style4098"/>
    <w:link w:val="style32"/>
    <w:uiPriority w:val="99"/>
  </w:style>
  <w:style w:type="paragraph" w:styleId="style1">
    <w:name w:val="heading 1"/>
    <w:basedOn w:val="style0"/>
    <w:next w:val="style0"/>
    <w:link w:val="style4099"/>
    <w:qFormat/>
    <w:uiPriority w:val="9"/>
    <w:pPr>
      <w:keepNext/>
      <w:keepLines/>
      <w:spacing w:before="480" w:after="0"/>
      <w:outlineLvl w:val="0"/>
    </w:pPr>
    <w:rPr>
      <w:rFonts w:ascii="Calibri" w:cs="宋体" w:eastAsia="ＭＳ ゴシック" w:hAnsi="Calibri"/>
      <w:b/>
      <w:bCs/>
      <w:color w:val="365f91"/>
      <w:sz w:val="28"/>
      <w:szCs w:val="28"/>
    </w:rPr>
  </w:style>
  <w:style w:type="paragraph" w:styleId="style2">
    <w:name w:val="heading 2"/>
    <w:basedOn w:val="style0"/>
    <w:next w:val="style0"/>
    <w:link w:val="style4100"/>
    <w:qFormat/>
    <w:uiPriority w:val="9"/>
    <w:pPr>
      <w:keepNext/>
      <w:keepLines/>
      <w:spacing w:before="200" w:after="0"/>
      <w:outlineLvl w:val="1"/>
    </w:pPr>
    <w:rPr>
      <w:rFonts w:ascii="Calibri" w:cs="宋体" w:eastAsia="ＭＳ ゴシック" w:hAnsi="Calibri"/>
      <w:b/>
      <w:bCs/>
      <w:color w:val="4f81bd"/>
      <w:sz w:val="26"/>
      <w:szCs w:val="26"/>
    </w:rPr>
  </w:style>
  <w:style w:type="paragraph" w:styleId="style3">
    <w:name w:val="heading 3"/>
    <w:basedOn w:val="style0"/>
    <w:next w:val="style0"/>
    <w:link w:val="style4101"/>
    <w:qFormat/>
    <w:uiPriority w:val="9"/>
    <w:pPr>
      <w:keepNext/>
      <w:keepLines/>
      <w:spacing w:before="200" w:after="0"/>
      <w:outlineLvl w:val="2"/>
    </w:pPr>
    <w:rPr>
      <w:rFonts w:ascii="Calibri" w:cs="宋体" w:eastAsia="ＭＳ ゴシック" w:hAnsi="Calibri"/>
      <w:b/>
      <w:bCs/>
      <w:color w:val="4f81bd"/>
    </w:rPr>
  </w:style>
  <w:style w:type="paragraph" w:styleId="style4">
    <w:name w:val="heading 4"/>
    <w:basedOn w:val="style0"/>
    <w:next w:val="style0"/>
    <w:link w:val="style4109"/>
    <w:qFormat/>
    <w:uiPriority w:val="9"/>
    <w:pPr>
      <w:keepNext/>
      <w:keepLines/>
      <w:spacing w:before="200" w:after="0"/>
      <w:outlineLvl w:val="3"/>
    </w:pPr>
    <w:rPr>
      <w:rFonts w:ascii="Calibri" w:cs="宋体" w:eastAsia="ＭＳ ゴシック" w:hAnsi="Calibri"/>
      <w:b/>
      <w:bCs/>
      <w:i/>
      <w:iCs/>
      <w:color w:val="4f81bd"/>
    </w:rPr>
  </w:style>
  <w:style w:type="paragraph" w:styleId="style5">
    <w:name w:val="heading 5"/>
    <w:basedOn w:val="style0"/>
    <w:next w:val="style0"/>
    <w:link w:val="style4110"/>
    <w:qFormat/>
    <w:uiPriority w:val="9"/>
    <w:pPr>
      <w:keepNext/>
      <w:keepLines/>
      <w:spacing w:before="200" w:after="0"/>
      <w:outlineLvl w:val="4"/>
    </w:pPr>
    <w:rPr>
      <w:rFonts w:ascii="Calibri" w:cs="宋体" w:eastAsia="ＭＳ ゴシック" w:hAnsi="Calibri"/>
      <w:color w:val="243f60"/>
    </w:rPr>
  </w:style>
  <w:style w:type="paragraph" w:styleId="style6">
    <w:name w:val="heading 6"/>
    <w:basedOn w:val="style0"/>
    <w:next w:val="style0"/>
    <w:link w:val="style4111"/>
    <w:qFormat/>
    <w:uiPriority w:val="9"/>
    <w:pPr>
      <w:keepNext/>
      <w:keepLines/>
      <w:spacing w:before="200" w:after="0"/>
      <w:outlineLvl w:val="5"/>
    </w:pPr>
    <w:rPr>
      <w:rFonts w:ascii="Calibri" w:cs="宋体" w:eastAsia="ＭＳ ゴシック" w:hAnsi="Calibri"/>
      <w:i/>
      <w:iCs/>
      <w:color w:val="243f60"/>
    </w:rPr>
  </w:style>
  <w:style w:type="paragraph" w:styleId="style7">
    <w:name w:val="heading 7"/>
    <w:basedOn w:val="style0"/>
    <w:next w:val="style0"/>
    <w:link w:val="style4112"/>
    <w:qFormat/>
    <w:uiPriority w:val="9"/>
    <w:pPr>
      <w:keepNext/>
      <w:keepLines/>
      <w:spacing w:before="200" w:after="0"/>
      <w:outlineLvl w:val="6"/>
    </w:pPr>
    <w:rPr>
      <w:rFonts w:ascii="Calibri" w:cs="宋体" w:eastAsia="ＭＳ ゴシック" w:hAnsi="Calibri"/>
      <w:i/>
      <w:iCs/>
      <w:color w:val="404040"/>
    </w:rPr>
  </w:style>
  <w:style w:type="paragraph" w:styleId="style8">
    <w:name w:val="heading 8"/>
    <w:basedOn w:val="style0"/>
    <w:next w:val="style0"/>
    <w:link w:val="style4113"/>
    <w:qFormat/>
    <w:uiPriority w:val="9"/>
    <w:pPr>
      <w:keepNext/>
      <w:keepLines/>
      <w:spacing w:before="200" w:after="0"/>
      <w:outlineLvl w:val="7"/>
    </w:pPr>
    <w:rPr>
      <w:rFonts w:ascii="Calibri" w:cs="宋体" w:eastAsia="ＭＳ ゴシック" w:hAnsi="Calibri"/>
      <w:color w:val="4f81bd"/>
      <w:sz w:val="20"/>
      <w:szCs w:val="20"/>
    </w:rPr>
  </w:style>
  <w:style w:type="paragraph" w:styleId="style9">
    <w:name w:val="heading 9"/>
    <w:basedOn w:val="style0"/>
    <w:next w:val="style0"/>
    <w:link w:val="style4114"/>
    <w:qFormat/>
    <w:uiPriority w:val="9"/>
    <w:pPr>
      <w:keepNext/>
      <w:keepLines/>
      <w:spacing w:before="200" w:after="0"/>
      <w:outlineLvl w:val="8"/>
    </w:pPr>
    <w:rPr>
      <w:rFonts w:ascii="Calibri" w:cs="宋体" w:eastAsia="ＭＳ ゴシック" w:hAnsi="Calibri"/>
      <w:i/>
      <w:iCs/>
      <w:color w:val="404040"/>
      <w:sz w:val="20"/>
      <w:szCs w:val="20"/>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57">
    <w:name w:val="No Spacing"/>
    <w:next w:val="style157"/>
    <w:qFormat/>
    <w:uiPriority w:val="1"/>
    <w:pPr>
      <w:spacing w:after="0" w:lineRule="auto" w:line="240"/>
    </w:pPr>
    <w:rPr/>
  </w:style>
  <w:style w:type="character" w:customStyle="1" w:styleId="style4099">
    <w:name w:val="Heading 1 Char_fd96af91-9a72-4d53-9e30-18f0e16a3198"/>
    <w:basedOn w:val="style65"/>
    <w:next w:val="style4099"/>
    <w:link w:val="style1"/>
    <w:uiPriority w:val="9"/>
    <w:rPr>
      <w:rFonts w:ascii="Calibri" w:cs="宋体" w:eastAsia="ＭＳ ゴシック" w:hAnsi="Calibri"/>
      <w:b/>
      <w:bCs/>
      <w:color w:val="365f91"/>
      <w:sz w:val="28"/>
      <w:szCs w:val="28"/>
    </w:rPr>
  </w:style>
  <w:style w:type="character" w:customStyle="1" w:styleId="style4100">
    <w:name w:val="Heading 2 Char_33d4c2a5-4dbc-4c1e-96e5-d126662a86a3"/>
    <w:basedOn w:val="style65"/>
    <w:next w:val="style4100"/>
    <w:link w:val="style2"/>
    <w:uiPriority w:val="9"/>
    <w:rPr>
      <w:rFonts w:ascii="Calibri" w:cs="宋体" w:eastAsia="ＭＳ ゴシック" w:hAnsi="Calibri"/>
      <w:b/>
      <w:bCs/>
      <w:color w:val="4f81bd"/>
      <w:sz w:val="26"/>
      <w:szCs w:val="26"/>
    </w:rPr>
  </w:style>
  <w:style w:type="character" w:customStyle="1" w:styleId="style4101">
    <w:name w:val="Heading 3 Char_b553d695-0903-4a3a-a474-49173c500a3e"/>
    <w:basedOn w:val="style65"/>
    <w:next w:val="style4101"/>
    <w:link w:val="style3"/>
    <w:uiPriority w:val="9"/>
    <w:rPr>
      <w:rFonts w:ascii="Calibri" w:cs="宋体" w:eastAsia="ＭＳ ゴシック" w:hAnsi="Calibri"/>
      <w:b/>
      <w:bCs/>
      <w:color w:val="4f81bd"/>
    </w:rPr>
  </w:style>
  <w:style w:type="paragraph" w:styleId="style62">
    <w:name w:val="Title"/>
    <w:basedOn w:val="style0"/>
    <w:next w:val="style0"/>
    <w:link w:val="style4102"/>
    <w:qFormat/>
    <w:uiPriority w:val="10"/>
    <w:pPr>
      <w:pBdr>
        <w:bottom w:val="single" w:sz="8" w:space="4" w:color="4f81bd"/>
      </w:pBdr>
      <w:spacing w:after="300" w:lineRule="auto" w:line="240"/>
      <w:contextualSpacing/>
    </w:pPr>
    <w:rPr>
      <w:rFonts w:ascii="Calibri" w:cs="宋体" w:eastAsia="ＭＳ ゴシック" w:hAnsi="Calibri"/>
      <w:color w:val="17365d"/>
      <w:spacing w:val="5"/>
      <w:kern w:val="28"/>
      <w:sz w:val="52"/>
      <w:szCs w:val="52"/>
    </w:rPr>
  </w:style>
  <w:style w:type="character" w:customStyle="1" w:styleId="style4102">
    <w:name w:val="Title Char_0e258b5c-8b12-4068-aba0-7d2a4c585319"/>
    <w:basedOn w:val="style65"/>
    <w:next w:val="style4102"/>
    <w:link w:val="style62"/>
    <w:uiPriority w:val="10"/>
    <w:rPr>
      <w:rFonts w:ascii="Calibri" w:cs="宋体" w:eastAsia="ＭＳ ゴシック" w:hAnsi="Calibri"/>
      <w:color w:val="17365d"/>
      <w:spacing w:val="5"/>
      <w:kern w:val="28"/>
      <w:sz w:val="52"/>
      <w:szCs w:val="52"/>
    </w:rPr>
  </w:style>
  <w:style w:type="paragraph" w:styleId="style74">
    <w:name w:val="Subtitle"/>
    <w:basedOn w:val="style0"/>
    <w:next w:val="style0"/>
    <w:link w:val="style4103"/>
    <w:qFormat/>
    <w:uiPriority w:val="11"/>
    <w:pPr>
      <w:numPr>
        <w:ilvl w:val="1"/>
        <w:numId w:val="0"/>
      </w:numPr>
    </w:pPr>
    <w:rPr>
      <w:rFonts w:ascii="Calibri" w:cs="宋体" w:eastAsia="ＭＳ ゴシック" w:hAnsi="Calibri"/>
      <w:i/>
      <w:iCs/>
      <w:color w:val="4f81bd"/>
      <w:spacing w:val="15"/>
      <w:sz w:val="24"/>
      <w:szCs w:val="24"/>
    </w:rPr>
  </w:style>
  <w:style w:type="character" w:customStyle="1" w:styleId="style4103">
    <w:name w:val="Subtitle Char"/>
    <w:basedOn w:val="style65"/>
    <w:next w:val="style4103"/>
    <w:link w:val="style74"/>
    <w:uiPriority w:val="11"/>
    <w:rPr>
      <w:rFonts w:ascii="Calibri" w:cs="宋体" w:eastAsia="ＭＳ ゴシック" w:hAnsi="Calibri"/>
      <w:i/>
      <w:iCs/>
      <w:color w:val="4f81bd"/>
      <w:spacing w:val="15"/>
      <w:sz w:val="24"/>
      <w:szCs w:val="24"/>
    </w:rPr>
  </w:style>
  <w:style w:type="paragraph" w:styleId="style179">
    <w:name w:val="List Paragraph"/>
    <w:basedOn w:val="style0"/>
    <w:next w:val="style179"/>
    <w:qFormat/>
    <w:uiPriority w:val="34"/>
    <w:pPr>
      <w:ind w:left="720"/>
      <w:contextualSpacing/>
    </w:pPr>
    <w:rPr/>
  </w:style>
  <w:style w:type="paragraph" w:styleId="style66">
    <w:name w:val="Body Text"/>
    <w:basedOn w:val="style0"/>
    <w:next w:val="style66"/>
    <w:link w:val="style4104"/>
    <w:uiPriority w:val="99"/>
    <w:pPr>
      <w:spacing w:after="120"/>
    </w:pPr>
    <w:rPr/>
  </w:style>
  <w:style w:type="character" w:customStyle="1" w:styleId="style4104">
    <w:name w:val="Body Text Char"/>
    <w:basedOn w:val="style65"/>
    <w:next w:val="style4104"/>
    <w:link w:val="style66"/>
    <w:uiPriority w:val="99"/>
  </w:style>
  <w:style w:type="paragraph" w:styleId="style80">
    <w:name w:val="Body Text 2"/>
    <w:basedOn w:val="style0"/>
    <w:next w:val="style80"/>
    <w:link w:val="style4105"/>
    <w:uiPriority w:val="99"/>
    <w:pPr>
      <w:spacing w:after="120" w:lineRule="auto" w:line="480"/>
    </w:pPr>
    <w:rPr/>
  </w:style>
  <w:style w:type="character" w:customStyle="1" w:styleId="style4105">
    <w:name w:val="Body Text 2 Char"/>
    <w:basedOn w:val="style65"/>
    <w:next w:val="style4105"/>
    <w:link w:val="style80"/>
    <w:uiPriority w:val="99"/>
  </w:style>
  <w:style w:type="paragraph" w:styleId="style81">
    <w:name w:val="Body Text 3"/>
    <w:basedOn w:val="style0"/>
    <w:next w:val="style81"/>
    <w:link w:val="style4106"/>
    <w:uiPriority w:val="99"/>
    <w:pPr>
      <w:spacing w:after="120"/>
    </w:pPr>
    <w:rPr>
      <w:sz w:val="16"/>
      <w:szCs w:val="16"/>
    </w:rPr>
  </w:style>
  <w:style w:type="character" w:customStyle="1" w:styleId="style4106">
    <w:name w:val="Body Text 3 Char"/>
    <w:basedOn w:val="style65"/>
    <w:next w:val="style4106"/>
    <w:link w:val="style81"/>
    <w:uiPriority w:val="99"/>
    <w:rPr>
      <w:sz w:val="16"/>
      <w:szCs w:val="16"/>
    </w:rPr>
  </w:style>
  <w:style w:type="paragraph" w:styleId="style47">
    <w:name w:val="List"/>
    <w:basedOn w:val="style0"/>
    <w:next w:val="style47"/>
    <w:uiPriority w:val="99"/>
    <w:pPr>
      <w:ind w:left="360" w:hanging="360"/>
      <w:contextualSpacing/>
    </w:pPr>
    <w:rPr/>
  </w:style>
  <w:style w:type="paragraph" w:styleId="style50">
    <w:name w:val="List 2"/>
    <w:basedOn w:val="style0"/>
    <w:next w:val="style50"/>
    <w:uiPriority w:val="99"/>
    <w:pPr>
      <w:ind w:left="720" w:hanging="360"/>
      <w:contextualSpacing/>
    </w:pPr>
    <w:rPr/>
  </w:style>
  <w:style w:type="paragraph" w:styleId="style51">
    <w:name w:val="List 3"/>
    <w:basedOn w:val="style0"/>
    <w:next w:val="style51"/>
    <w:uiPriority w:val="99"/>
    <w:pPr>
      <w:ind w:left="1080" w:hanging="360"/>
      <w:contextualSpacing/>
    </w:pPr>
    <w:rPr/>
  </w:style>
  <w:style w:type="paragraph" w:styleId="style48">
    <w:name w:val="List Bullet"/>
    <w:basedOn w:val="style0"/>
    <w:next w:val="style48"/>
    <w:uiPriority w:val="99"/>
    <w:pPr>
      <w:numPr>
        <w:ilvl w:val="0"/>
        <w:numId w:val="1"/>
      </w:numPr>
      <w:contextualSpacing/>
    </w:pPr>
    <w:rPr/>
  </w:style>
  <w:style w:type="paragraph" w:styleId="style54">
    <w:name w:val="List Bullet 2"/>
    <w:basedOn w:val="style0"/>
    <w:next w:val="style54"/>
    <w:uiPriority w:val="99"/>
    <w:pPr>
      <w:numPr>
        <w:ilvl w:val="0"/>
        <w:numId w:val="2"/>
      </w:numPr>
      <w:contextualSpacing/>
    </w:pPr>
    <w:rPr/>
  </w:style>
  <w:style w:type="paragraph" w:styleId="style55">
    <w:name w:val="List Bullet 3"/>
    <w:basedOn w:val="style0"/>
    <w:next w:val="style55"/>
    <w:uiPriority w:val="99"/>
    <w:pPr>
      <w:numPr>
        <w:ilvl w:val="0"/>
        <w:numId w:val="3"/>
      </w:numPr>
      <w:contextualSpacing/>
    </w:pPr>
    <w:rPr/>
  </w:style>
  <w:style w:type="paragraph" w:styleId="style49">
    <w:name w:val="List Number"/>
    <w:basedOn w:val="style0"/>
    <w:next w:val="style49"/>
    <w:uiPriority w:val="99"/>
    <w:pPr>
      <w:numPr>
        <w:ilvl w:val="0"/>
        <w:numId w:val="4"/>
      </w:numPr>
      <w:contextualSpacing/>
    </w:pPr>
    <w:rPr/>
  </w:style>
  <w:style w:type="paragraph" w:styleId="style58">
    <w:name w:val="List Number 2"/>
    <w:basedOn w:val="style0"/>
    <w:next w:val="style58"/>
    <w:uiPriority w:val="99"/>
    <w:pPr>
      <w:numPr>
        <w:ilvl w:val="0"/>
        <w:numId w:val="5"/>
      </w:numPr>
      <w:contextualSpacing/>
    </w:pPr>
    <w:rPr/>
  </w:style>
  <w:style w:type="paragraph" w:styleId="style59">
    <w:name w:val="List Number 3"/>
    <w:basedOn w:val="style0"/>
    <w:next w:val="style59"/>
    <w:uiPriority w:val="99"/>
    <w:pPr>
      <w:numPr>
        <w:ilvl w:val="0"/>
        <w:numId w:val="6"/>
      </w:numPr>
      <w:contextualSpacing/>
    </w:pPr>
    <w:rPr/>
  </w:style>
  <w:style w:type="paragraph" w:styleId="style68">
    <w:name w:val="List Continue"/>
    <w:basedOn w:val="style0"/>
    <w:next w:val="style68"/>
    <w:uiPriority w:val="99"/>
    <w:pPr>
      <w:spacing w:after="120"/>
      <w:ind w:left="360"/>
      <w:contextualSpacing/>
    </w:pPr>
    <w:rPr/>
  </w:style>
  <w:style w:type="paragraph" w:styleId="style69">
    <w:name w:val="List Continue 2"/>
    <w:basedOn w:val="style0"/>
    <w:next w:val="style69"/>
    <w:uiPriority w:val="99"/>
    <w:pPr>
      <w:spacing w:after="120"/>
      <w:ind w:left="720"/>
      <w:contextualSpacing/>
    </w:pPr>
    <w:rPr/>
  </w:style>
  <w:style w:type="paragraph" w:styleId="style70">
    <w:name w:val="List Continue 3"/>
    <w:basedOn w:val="style0"/>
    <w:next w:val="style70"/>
    <w:uiPriority w:val="99"/>
    <w:pPr>
      <w:spacing w:after="120"/>
      <w:ind w:left="1080"/>
      <w:contextualSpacing/>
    </w:pPr>
    <w:rPr/>
  </w:style>
  <w:style w:type="paragraph" w:styleId="style45">
    <w:name w:val="macro"/>
    <w:next w:val="style45"/>
    <w:link w:val="style4107"/>
    <w:uiPriority w:val="99"/>
    <w:pPr>
      <w:tabs>
        <w:tab w:val="left" w:leader="none" w:pos="576"/>
        <w:tab w:val="left" w:leader="none" w:pos="1152"/>
        <w:tab w:val="left" w:leader="none" w:pos="1728"/>
        <w:tab w:val="left" w:leader="none" w:pos="2304"/>
        <w:tab w:val="left" w:leader="none" w:pos="2880"/>
        <w:tab w:val="left" w:leader="none" w:pos="3456"/>
        <w:tab w:val="left" w:leader="none" w:pos="4032"/>
      </w:tabs>
    </w:pPr>
    <w:rPr>
      <w:rFonts w:ascii="Courier" w:hAnsi="Courier"/>
      <w:sz w:val="20"/>
      <w:szCs w:val="20"/>
    </w:rPr>
  </w:style>
  <w:style w:type="character" w:customStyle="1" w:styleId="style4107">
    <w:name w:val="Macro Text Char"/>
    <w:basedOn w:val="style65"/>
    <w:next w:val="style4107"/>
    <w:link w:val="style45"/>
    <w:uiPriority w:val="99"/>
    <w:rPr>
      <w:rFonts w:ascii="Courier" w:hAnsi="Courier"/>
      <w:sz w:val="20"/>
      <w:szCs w:val="20"/>
    </w:rPr>
  </w:style>
  <w:style w:type="paragraph" w:styleId="style180">
    <w:name w:val="Quote"/>
    <w:basedOn w:val="style0"/>
    <w:next w:val="style0"/>
    <w:link w:val="style4108"/>
    <w:qFormat/>
    <w:uiPriority w:val="29"/>
    <w:pPr/>
    <w:rPr>
      <w:i/>
      <w:iCs/>
      <w:color w:val="000000"/>
    </w:rPr>
  </w:style>
  <w:style w:type="character" w:customStyle="1" w:styleId="style4108">
    <w:name w:val="Quote Char_c1ce9281-1f70-46f3-b137-0a7a1b153437"/>
    <w:basedOn w:val="style65"/>
    <w:next w:val="style4108"/>
    <w:link w:val="style180"/>
    <w:uiPriority w:val="29"/>
    <w:rPr>
      <w:i/>
      <w:iCs/>
      <w:color w:val="000000"/>
    </w:rPr>
  </w:style>
  <w:style w:type="character" w:customStyle="1" w:styleId="style4109">
    <w:name w:val="Heading 4 Char_6d1a6ced-ae4c-42f4-997b-724c51f4e595"/>
    <w:basedOn w:val="style65"/>
    <w:next w:val="style4109"/>
    <w:link w:val="style4"/>
    <w:uiPriority w:val="9"/>
    <w:rPr>
      <w:rFonts w:ascii="Calibri" w:cs="宋体" w:eastAsia="ＭＳ ゴシック" w:hAnsi="Calibri"/>
      <w:b/>
      <w:bCs/>
      <w:i/>
      <w:iCs/>
      <w:color w:val="4f81bd"/>
    </w:rPr>
  </w:style>
  <w:style w:type="character" w:customStyle="1" w:styleId="style4110">
    <w:name w:val="Heading 5 Char_f235a124-9ae9-459e-ae62-4ce55901e6a2"/>
    <w:basedOn w:val="style65"/>
    <w:next w:val="style4110"/>
    <w:link w:val="style5"/>
    <w:uiPriority w:val="9"/>
    <w:rPr>
      <w:rFonts w:ascii="Calibri" w:cs="宋体" w:eastAsia="ＭＳ ゴシック" w:hAnsi="Calibri"/>
      <w:color w:val="243f60"/>
    </w:rPr>
  </w:style>
  <w:style w:type="character" w:customStyle="1" w:styleId="style4111">
    <w:name w:val="Heading 6 Char_e1db3e9d-f274-4d19-be1d-30cdec5b9b35"/>
    <w:basedOn w:val="style65"/>
    <w:next w:val="style4111"/>
    <w:link w:val="style6"/>
    <w:uiPriority w:val="9"/>
    <w:rPr>
      <w:rFonts w:ascii="Calibri" w:cs="宋体" w:eastAsia="ＭＳ ゴシック" w:hAnsi="Calibri"/>
      <w:i/>
      <w:iCs/>
      <w:color w:val="243f60"/>
    </w:rPr>
  </w:style>
  <w:style w:type="character" w:customStyle="1" w:styleId="style4112">
    <w:name w:val="Heading 7 Char_96f50e15-80b1-47f3-a5b3-f6e26778649c"/>
    <w:basedOn w:val="style65"/>
    <w:next w:val="style4112"/>
    <w:link w:val="style7"/>
    <w:uiPriority w:val="9"/>
    <w:rPr>
      <w:rFonts w:ascii="Calibri" w:cs="宋体" w:eastAsia="ＭＳ ゴシック" w:hAnsi="Calibri"/>
      <w:i/>
      <w:iCs/>
      <w:color w:val="404040"/>
    </w:rPr>
  </w:style>
  <w:style w:type="character" w:customStyle="1" w:styleId="style4113">
    <w:name w:val="Heading 8 Char_4f1d26b7-21fa-4471-9018-91ade6f90bb8"/>
    <w:basedOn w:val="style65"/>
    <w:next w:val="style4113"/>
    <w:link w:val="style8"/>
    <w:uiPriority w:val="9"/>
    <w:rPr>
      <w:rFonts w:ascii="Calibri" w:cs="宋体" w:eastAsia="ＭＳ ゴシック" w:hAnsi="Calibri"/>
      <w:color w:val="4f81bd"/>
      <w:sz w:val="20"/>
      <w:szCs w:val="20"/>
    </w:rPr>
  </w:style>
  <w:style w:type="character" w:customStyle="1" w:styleId="style4114">
    <w:name w:val="Heading 9 Char_4820f2f3-e88e-49c6-b80e-5338b61dabdb"/>
    <w:basedOn w:val="style65"/>
    <w:next w:val="style4114"/>
    <w:link w:val="style9"/>
    <w:uiPriority w:val="9"/>
    <w:rPr>
      <w:rFonts w:ascii="Calibri" w:cs="宋体" w:eastAsia="ＭＳ ゴシック" w:hAnsi="Calibri"/>
      <w:i/>
      <w:iCs/>
      <w:color w:val="404040"/>
      <w:sz w:val="20"/>
      <w:szCs w:val="20"/>
    </w:rPr>
  </w:style>
  <w:style w:type="paragraph" w:styleId="style34">
    <w:name w:val="caption"/>
    <w:basedOn w:val="style0"/>
    <w:next w:val="style0"/>
    <w:qFormat/>
    <w:uiPriority w:val="35"/>
    <w:pPr>
      <w:spacing w:lineRule="auto" w:line="240"/>
    </w:pPr>
    <w:rPr>
      <w:b/>
      <w:bCs/>
      <w:color w:val="4f81bd"/>
      <w:sz w:val="18"/>
      <w:szCs w:val="18"/>
    </w:rPr>
  </w:style>
  <w:style w:type="character" w:styleId="style87">
    <w:name w:val="Strong"/>
    <w:basedOn w:val="style65"/>
    <w:next w:val="style87"/>
    <w:qFormat/>
    <w:uiPriority w:val="22"/>
    <w:rPr>
      <w:b/>
      <w:bCs/>
    </w:rPr>
  </w:style>
  <w:style w:type="character" w:styleId="style88">
    <w:name w:val="Emphasis"/>
    <w:basedOn w:val="style65"/>
    <w:next w:val="style88"/>
    <w:qFormat/>
    <w:uiPriority w:val="20"/>
    <w:rPr>
      <w:i/>
      <w:iCs/>
    </w:rPr>
  </w:style>
  <w:style w:type="paragraph" w:styleId="style181">
    <w:name w:val="Intense Quote"/>
    <w:basedOn w:val="style0"/>
    <w:next w:val="style0"/>
    <w:link w:val="style4115"/>
    <w:qFormat/>
    <w:uiPriority w:val="30"/>
    <w:pPr>
      <w:pBdr>
        <w:bottom w:val="single" w:sz="4" w:space="4" w:color="4f81bd"/>
      </w:pBdr>
      <w:spacing w:before="200" w:after="280"/>
      <w:ind w:left="936" w:right="936"/>
    </w:pPr>
    <w:rPr>
      <w:b/>
      <w:bCs/>
      <w:i/>
      <w:iCs/>
      <w:color w:val="4f81bd"/>
    </w:rPr>
  </w:style>
  <w:style w:type="character" w:customStyle="1" w:styleId="style4115">
    <w:name w:val="Intense Quote Char_1339b214-69b1-4525-bde0-642d823b594a"/>
    <w:basedOn w:val="style65"/>
    <w:next w:val="style4115"/>
    <w:link w:val="style181"/>
    <w:uiPriority w:val="30"/>
    <w:rPr>
      <w:b/>
      <w:bCs/>
      <w:i/>
      <w:iCs/>
      <w:color w:val="4f81bd"/>
    </w:rPr>
  </w:style>
  <w:style w:type="character" w:styleId="style260">
    <w:name w:val="Subtle Emphasis"/>
    <w:basedOn w:val="style65"/>
    <w:next w:val="style260"/>
    <w:qFormat/>
    <w:uiPriority w:val="19"/>
    <w:rPr>
      <w:i/>
      <w:iCs/>
      <w:color w:val="808080"/>
    </w:rPr>
  </w:style>
  <w:style w:type="character" w:styleId="style261">
    <w:name w:val="Intense Emphasis"/>
    <w:basedOn w:val="style65"/>
    <w:next w:val="style261"/>
    <w:qFormat/>
    <w:uiPriority w:val="21"/>
    <w:rPr>
      <w:b/>
      <w:bCs/>
      <w:i/>
      <w:iCs/>
      <w:color w:val="4f81bd"/>
    </w:rPr>
  </w:style>
  <w:style w:type="character" w:styleId="style262">
    <w:name w:val="Subtle Reference"/>
    <w:basedOn w:val="style65"/>
    <w:next w:val="style262"/>
    <w:qFormat/>
    <w:uiPriority w:val="31"/>
    <w:rPr>
      <w:smallCaps/>
      <w:color w:val="c0504d"/>
      <w:u w:val="single"/>
    </w:rPr>
  </w:style>
  <w:style w:type="character" w:styleId="style263">
    <w:name w:val="Intense Reference"/>
    <w:basedOn w:val="style65"/>
    <w:next w:val="style263"/>
    <w:qFormat/>
    <w:uiPriority w:val="32"/>
    <w:rPr>
      <w:b/>
      <w:bCs/>
      <w:smallCaps/>
      <w:color w:val="c0504d"/>
      <w:spacing w:val="5"/>
      <w:u w:val="single"/>
    </w:rPr>
  </w:style>
  <w:style w:type="character" w:styleId="style264">
    <w:name w:val="Book Title"/>
    <w:basedOn w:val="style65"/>
    <w:next w:val="style264"/>
    <w:qFormat/>
    <w:uiPriority w:val="33"/>
    <w:rPr>
      <w:b/>
      <w:bCs/>
      <w:smallCaps/>
      <w:spacing w:val="5"/>
    </w:rPr>
  </w:style>
  <w:style w:type="paragraph" w:styleId="style266">
    <w:name w:val="TOC Heading"/>
    <w:basedOn w:val="style1"/>
    <w:next w:val="style0"/>
    <w:qFormat/>
    <w:uiPriority w:val="39"/>
    <w:pPr>
      <w:outlineLvl w:val="9"/>
    </w:pPr>
    <w:rPr/>
  </w:style>
  <w:style w:type="table" w:styleId="style154">
    <w:name w:val="Table Grid"/>
    <w:basedOn w:val="style105"/>
    <w:next w:val="style154"/>
    <w:uiPriority w:val="59"/>
    <w:pPr>
      <w:spacing w:after="0" w:lineRule="auto" w:line="240"/>
    </w:pP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cPr>
  </w:style>
  <w:style w:type="table" w:styleId="style158">
    <w:name w:val="Light Shading"/>
    <w:basedOn w:val="style105"/>
    <w:next w:val="style158"/>
    <w:uiPriority w:val="60"/>
    <w:pPr>
      <w:spacing w:after="0" w:lineRule="auto" w:line="240"/>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Rule="auto" w:line="240"/>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Rule="auto" w:line="240"/>
      </w:pPr>
      <w:rPr>
        <w:b/>
        <w:bCs/>
      </w:rPr>
      <w:tblPr/>
      <w:tcPr>
        <w:tcBorders>
          <w:top w:val="single" w:sz="8" w:space="0" w:color="000000"/>
          <w:left w:val="nil"/>
          <w:bottom w:val="single" w:sz="8" w:space="0" w:color="000000"/>
          <w:right w:val="nil"/>
          <w:insideH w:val="nil"/>
          <w:insideV w:val="nil"/>
        </w:tcBorders>
      </w:tcPr>
    </w:tblStylePr>
    <w:tblStylePr w:type="band1Horz">
      <w:pPr/>
      <w:tblPr/>
      <w:tcPr>
        <w:tcBorders>
          <w:left w:val="nil"/>
          <w:right w:val="nil"/>
          <w:insideH w:val="nil"/>
          <w:insideV w:val="nil"/>
        </w:tcBorders>
        <w:shd w:val="clear" w:color="auto" w:fill="c0c0c0"/>
      </w:tcPr>
    </w:tblStylePr>
    <w:tblStylePr w:type="firstCol">
      <w:pPr/>
      <w:rPr>
        <w:b/>
        <w:bCs/>
      </w:rPr>
      <w:tcPr>
        <w:tcBorders/>
      </w:tcPr>
    </w:tblStylePr>
    <w:tblStylePr w:type="lastCol">
      <w:pPr/>
      <w:rPr>
        <w:b/>
        <w:bCs/>
      </w:rPr>
      <w:tcPr>
        <w:tcBorders/>
      </w:tcPr>
    </w:tblStylePr>
    <w:tblStylePr w:type="band1Vert">
      <w:pPr/>
      <w:tblPr/>
      <w:tcPr>
        <w:tcBorders>
          <w:left w:val="nil"/>
          <w:right w:val="nil"/>
          <w:insideH w:val="nil"/>
          <w:insideV w:val="nil"/>
        </w:tcBorders>
        <w:shd w:val="clear" w:color="auto" w:fill="c0c0c0"/>
      </w:tcPr>
    </w:tblStylePr>
    <w:tcPr>
      <w:tcBorders/>
    </w:tcPr>
  </w:style>
  <w:style w:type="table" w:styleId="style172">
    <w:name w:val="Light Shading Accent 1"/>
    <w:basedOn w:val="style105"/>
    <w:next w:val="style172"/>
    <w:uiPriority w:val="60"/>
    <w:pPr>
      <w:spacing w:after="0" w:lineRule="auto" w:line="240"/>
    </w:pPr>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Rule="auto" w:line="24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Rule="auto" w:line="240"/>
      </w:pPr>
      <w:rPr>
        <w:b/>
        <w:bCs/>
      </w:rPr>
      <w:tblPr/>
      <w:tcPr>
        <w:tcBorders>
          <w:top w:val="single" w:sz="8" w:space="0" w:color="4f81bd"/>
          <w:left w:val="nil"/>
          <w:bottom w:val="single" w:sz="8" w:space="0" w:color="4f81bd"/>
          <w:right w:val="nil"/>
          <w:insideH w:val="nil"/>
          <w:insideV w:val="nil"/>
        </w:tcBorders>
      </w:tcPr>
    </w:tblStylePr>
    <w:tblStylePr w:type="band1Horz">
      <w:pPr/>
      <w:tblPr/>
      <w:tcPr>
        <w:tcBorders>
          <w:left w:val="nil"/>
          <w:right w:val="nil"/>
          <w:insideH w:val="nil"/>
          <w:insideV w:val="nil"/>
        </w:tcBorders>
        <w:shd w:val="clear" w:color="auto" w:fill="d3dfee"/>
      </w:tcPr>
    </w:tblStylePr>
    <w:tblStylePr w:type="firstCol">
      <w:pPr/>
      <w:rPr>
        <w:b/>
        <w:bCs/>
      </w:rPr>
      <w:tcPr>
        <w:tcBorders/>
      </w:tcPr>
    </w:tblStylePr>
    <w:tblStylePr w:type="lastCol">
      <w:pPr/>
      <w:rPr>
        <w:b/>
        <w:bCs/>
      </w:rPr>
      <w:tcPr>
        <w:tcBorders/>
      </w:tcPr>
    </w:tblStylePr>
    <w:tblStylePr w:type="band1Vert">
      <w:pPr/>
      <w:tblPr/>
      <w:tcPr>
        <w:tcBorders>
          <w:left w:val="nil"/>
          <w:right w:val="nil"/>
          <w:insideH w:val="nil"/>
          <w:insideV w:val="nil"/>
        </w:tcBorders>
        <w:shd w:val="clear" w:color="auto" w:fill="d3dfee"/>
      </w:tcPr>
    </w:tblStylePr>
    <w:tcPr>
      <w:tcBorders/>
    </w:tcPr>
  </w:style>
  <w:style w:type="table" w:styleId="style190">
    <w:name w:val="Light Shading Accent 2"/>
    <w:basedOn w:val="style105"/>
    <w:next w:val="style190"/>
    <w:uiPriority w:val="60"/>
    <w:pPr>
      <w:spacing w:after="0" w:lineRule="auto" w:line="240"/>
    </w:pPr>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Rule="auto" w:line="240"/>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Rule="auto" w:line="240"/>
      </w:pPr>
      <w:rPr>
        <w:b/>
        <w:bCs/>
      </w:rPr>
      <w:tblPr/>
      <w:tcPr>
        <w:tcBorders>
          <w:top w:val="single" w:sz="8" w:space="0" w:color="c0504d"/>
          <w:left w:val="nil"/>
          <w:bottom w:val="single" w:sz="8" w:space="0" w:color="c0504d"/>
          <w:right w:val="nil"/>
          <w:insideH w:val="nil"/>
          <w:insideV w:val="nil"/>
        </w:tcBorders>
      </w:tcPr>
    </w:tblStylePr>
    <w:tblStylePr w:type="band1Horz">
      <w:pPr/>
      <w:tblPr/>
      <w:tcPr>
        <w:tcBorders>
          <w:left w:val="nil"/>
          <w:right w:val="nil"/>
          <w:insideH w:val="nil"/>
          <w:insideV w:val="nil"/>
        </w:tcBorders>
        <w:shd w:val="clear" w:color="auto" w:fill="efd3d2"/>
      </w:tcPr>
    </w:tblStylePr>
    <w:tblStylePr w:type="firstCol">
      <w:pPr/>
      <w:rPr>
        <w:b/>
        <w:bCs/>
      </w:rPr>
      <w:tcPr>
        <w:tcBorders/>
      </w:tcPr>
    </w:tblStylePr>
    <w:tblStylePr w:type="lastCol">
      <w:pPr/>
      <w:rPr>
        <w:b/>
        <w:bCs/>
      </w:rPr>
      <w:tcPr>
        <w:tcBorders/>
      </w:tcPr>
    </w:tblStylePr>
    <w:tblStylePr w:type="band1Vert">
      <w:pPr/>
      <w:tblPr/>
      <w:tcPr>
        <w:tcBorders>
          <w:left w:val="nil"/>
          <w:right w:val="nil"/>
          <w:insideH w:val="nil"/>
          <w:insideV w:val="nil"/>
        </w:tcBorders>
        <w:shd w:val="clear" w:color="auto" w:fill="efd3d2"/>
      </w:tcPr>
    </w:tblStylePr>
    <w:tcPr>
      <w:tcBorders/>
    </w:tcPr>
  </w:style>
  <w:style w:type="table" w:styleId="style204">
    <w:name w:val="Light Shading Accent 3"/>
    <w:basedOn w:val="style105"/>
    <w:next w:val="style204"/>
    <w:uiPriority w:val="60"/>
    <w:pPr>
      <w:spacing w:after="0" w:lineRule="auto" w:line="240"/>
    </w:pPr>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Rule="auto" w:line="24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Rule="auto" w:line="240"/>
      </w:pPr>
      <w:rPr>
        <w:b/>
        <w:bCs/>
      </w:rPr>
      <w:tblPr/>
      <w:tcPr>
        <w:tcBorders>
          <w:top w:val="single" w:sz="8" w:space="0" w:color="9bbb59"/>
          <w:left w:val="nil"/>
          <w:bottom w:val="single" w:sz="8" w:space="0" w:color="9bbb59"/>
          <w:right w:val="nil"/>
          <w:insideH w:val="nil"/>
          <w:insideV w:val="nil"/>
        </w:tcBorders>
      </w:tcPr>
    </w:tblStylePr>
    <w:tblStylePr w:type="band1Horz">
      <w:pPr/>
      <w:tblPr/>
      <w:tcPr>
        <w:tcBorders>
          <w:left w:val="nil"/>
          <w:right w:val="nil"/>
          <w:insideH w:val="nil"/>
          <w:insideV w:val="nil"/>
        </w:tcBorders>
        <w:shd w:val="clear" w:color="auto" w:fill="e6eed5"/>
      </w:tcPr>
    </w:tblStylePr>
    <w:tblStylePr w:type="firstCol">
      <w:pPr/>
      <w:rPr>
        <w:b/>
        <w:bCs/>
      </w:rPr>
      <w:tcPr>
        <w:tcBorders/>
      </w:tcPr>
    </w:tblStylePr>
    <w:tblStylePr w:type="lastCol">
      <w:pPr/>
      <w:rPr>
        <w:b/>
        <w:bCs/>
      </w:rPr>
      <w:tcPr>
        <w:tcBorders/>
      </w:tcPr>
    </w:tblStylePr>
    <w:tblStylePr w:type="band1Vert">
      <w:pPr/>
      <w:tblPr/>
      <w:tcPr>
        <w:tcBorders>
          <w:left w:val="nil"/>
          <w:right w:val="nil"/>
          <w:insideH w:val="nil"/>
          <w:insideV w:val="nil"/>
        </w:tcBorders>
        <w:shd w:val="clear" w:color="auto" w:fill="e6eed5"/>
      </w:tcPr>
    </w:tblStylePr>
    <w:tcPr>
      <w:tcBorders/>
    </w:tcPr>
  </w:style>
  <w:style w:type="table" w:styleId="style218">
    <w:name w:val="Light Shading Accent 4"/>
    <w:basedOn w:val="style105"/>
    <w:next w:val="style218"/>
    <w:uiPriority w:val="60"/>
    <w:pPr>
      <w:spacing w:after="0" w:lineRule="auto" w:line="240"/>
    </w:pPr>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Rule="auto" w:line="240"/>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Rule="auto" w:line="240"/>
      </w:pPr>
      <w:rPr>
        <w:b/>
        <w:bCs/>
      </w:rPr>
      <w:tblPr/>
      <w:tcPr>
        <w:tcBorders>
          <w:top w:val="single" w:sz="8" w:space="0" w:color="8064a2"/>
          <w:left w:val="nil"/>
          <w:bottom w:val="single" w:sz="8" w:space="0" w:color="8064a2"/>
          <w:right w:val="nil"/>
          <w:insideH w:val="nil"/>
          <w:insideV w:val="nil"/>
        </w:tcBorders>
      </w:tcPr>
    </w:tblStylePr>
    <w:tblStylePr w:type="band1Horz">
      <w:pPr/>
      <w:tblPr/>
      <w:tcPr>
        <w:tcBorders>
          <w:left w:val="nil"/>
          <w:right w:val="nil"/>
          <w:insideH w:val="nil"/>
          <w:insideV w:val="nil"/>
        </w:tcBorders>
        <w:shd w:val="clear" w:color="auto" w:fill="dfd8e8"/>
      </w:tcPr>
    </w:tblStylePr>
    <w:tblStylePr w:type="firstCol">
      <w:pPr/>
      <w:rPr>
        <w:b/>
        <w:bCs/>
      </w:rPr>
      <w:tcPr>
        <w:tcBorders/>
      </w:tcPr>
    </w:tblStylePr>
    <w:tblStylePr w:type="lastCol">
      <w:pPr/>
      <w:rPr>
        <w:b/>
        <w:bCs/>
      </w:rPr>
      <w:tcPr>
        <w:tcBorders/>
      </w:tcPr>
    </w:tblStylePr>
    <w:tblStylePr w:type="band1Vert">
      <w:pPr/>
      <w:tblPr/>
      <w:tcPr>
        <w:tcBorders>
          <w:left w:val="nil"/>
          <w:right w:val="nil"/>
          <w:insideH w:val="nil"/>
          <w:insideV w:val="nil"/>
        </w:tcBorders>
        <w:shd w:val="clear" w:color="auto" w:fill="dfd8e8"/>
      </w:tcPr>
    </w:tblStylePr>
    <w:tcPr>
      <w:tcBorders/>
    </w:tcPr>
  </w:style>
  <w:style w:type="table" w:styleId="style232">
    <w:name w:val="Light Shading Accent 5"/>
    <w:basedOn w:val="style105"/>
    <w:next w:val="style232"/>
    <w:uiPriority w:val="60"/>
    <w:pPr>
      <w:spacing w:after="0" w:lineRule="auto" w:line="240"/>
    </w:pPr>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Rule="auto" w:line="24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Rule="auto" w:line="240"/>
      </w:pPr>
      <w:rPr>
        <w:b/>
        <w:bCs/>
      </w:rPr>
      <w:tblPr/>
      <w:tcPr>
        <w:tcBorders>
          <w:top w:val="single" w:sz="8" w:space="0" w:color="4bacc6"/>
          <w:left w:val="nil"/>
          <w:bottom w:val="single" w:sz="8" w:space="0" w:color="4bacc6"/>
          <w:right w:val="nil"/>
          <w:insideH w:val="nil"/>
          <w:insideV w:val="nil"/>
        </w:tcBorders>
      </w:tcPr>
    </w:tblStylePr>
    <w:tblStylePr w:type="band1Horz">
      <w:pPr/>
      <w:tblPr/>
      <w:tcPr>
        <w:tcBorders>
          <w:left w:val="nil"/>
          <w:right w:val="nil"/>
          <w:insideH w:val="nil"/>
          <w:insideV w:val="nil"/>
        </w:tcBorders>
        <w:shd w:val="clear" w:color="auto" w:fill="d2eaf1"/>
      </w:tcPr>
    </w:tblStylePr>
    <w:tblStylePr w:type="firstCol">
      <w:pPr/>
      <w:rPr>
        <w:b/>
        <w:bCs/>
      </w:rPr>
      <w:tcPr>
        <w:tcBorders/>
      </w:tcPr>
    </w:tblStylePr>
    <w:tblStylePr w:type="lastCol">
      <w:pPr/>
      <w:rPr>
        <w:b/>
        <w:bCs/>
      </w:rPr>
      <w:tcPr>
        <w:tcBorders/>
      </w:tcPr>
    </w:tblStylePr>
    <w:tblStylePr w:type="band1Vert">
      <w:pPr/>
      <w:tblPr/>
      <w:tcPr>
        <w:tcBorders>
          <w:left w:val="nil"/>
          <w:right w:val="nil"/>
          <w:insideH w:val="nil"/>
          <w:insideV w:val="nil"/>
        </w:tcBorders>
        <w:shd w:val="clear" w:color="auto" w:fill="d2eaf1"/>
      </w:tcPr>
    </w:tblStylePr>
    <w:tcPr>
      <w:tcBorders/>
    </w:tcPr>
  </w:style>
  <w:style w:type="table" w:styleId="style246">
    <w:name w:val="Light Shading Accent 6"/>
    <w:basedOn w:val="style105"/>
    <w:next w:val="style246"/>
    <w:uiPriority w:val="60"/>
    <w:pPr>
      <w:spacing w:after="0" w:lineRule="auto" w:line="240"/>
    </w:pPr>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Rule="auto" w:line="240"/>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Rule="auto" w:line="240"/>
      </w:pPr>
      <w:rPr>
        <w:b/>
        <w:bCs/>
      </w:rPr>
      <w:tblPr/>
      <w:tcPr>
        <w:tcBorders>
          <w:top w:val="single" w:sz="8" w:space="0" w:color="f79646"/>
          <w:left w:val="nil"/>
          <w:bottom w:val="single" w:sz="8" w:space="0" w:color="f79646"/>
          <w:right w:val="nil"/>
          <w:insideH w:val="nil"/>
          <w:insideV w:val="nil"/>
        </w:tcBorders>
      </w:tcPr>
    </w:tblStylePr>
    <w:tblStylePr w:type="band1Horz">
      <w:pPr/>
      <w:tblPr/>
      <w:tcPr>
        <w:tcBorders>
          <w:left w:val="nil"/>
          <w:right w:val="nil"/>
          <w:insideH w:val="nil"/>
          <w:insideV w:val="nil"/>
        </w:tcBorders>
        <w:shd w:val="clear" w:color="auto" w:fill="fde4d0"/>
      </w:tcPr>
    </w:tblStylePr>
    <w:tblStylePr w:type="firstCol">
      <w:pPr/>
      <w:rPr>
        <w:b/>
        <w:bCs/>
      </w:rPr>
      <w:tcPr>
        <w:tcBorders/>
      </w:tcPr>
    </w:tblStylePr>
    <w:tblStylePr w:type="lastCol">
      <w:pPr/>
      <w:rPr>
        <w:b/>
        <w:bCs/>
      </w:rPr>
      <w:tcPr>
        <w:tcBorders/>
      </w:tcPr>
    </w:tblStylePr>
    <w:tblStylePr w:type="band1Vert">
      <w:pPr/>
      <w:tblPr/>
      <w:tcPr>
        <w:tcBorders>
          <w:left w:val="nil"/>
          <w:right w:val="nil"/>
          <w:insideH w:val="nil"/>
          <w:insideV w:val="nil"/>
        </w:tcBorders>
        <w:shd w:val="clear" w:color="auto" w:fill="fde4d0"/>
      </w:tcPr>
    </w:tblStylePr>
    <w:tcPr>
      <w:tcBorders/>
    </w:tcPr>
  </w:style>
  <w:style w:type="table" w:styleId="style159">
    <w:name w:val="Light List"/>
    <w:basedOn w:val="style105"/>
    <w:next w:val="style159"/>
    <w:uiPriority w:val="61"/>
    <w:pPr>
      <w:spacing w:after="0" w:lineRule="auto" w:line="240"/>
    </w:pP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Rule="auto" w:line="240"/>
      </w:pPr>
      <w:rPr>
        <w:b/>
        <w:bCs/>
        <w:color w:val="ffffff"/>
      </w:rPr>
      <w:tblPr/>
      <w:tcPr>
        <w:tcBorders/>
        <w:shd w:val="clear" w:color="auto" w:fill="000000"/>
      </w:tcPr>
    </w:tblStylePr>
    <w:tblStylePr w:type="lastRow">
      <w:pPr>
        <w:spacing w:before="0" w:after="0" w:lineRule="auto" w:line="240"/>
      </w:pPr>
      <w:rPr>
        <w:b/>
        <w:bCs/>
      </w:rPr>
      <w:tblPr/>
      <w:tcPr>
        <w:tcBorders>
          <w:top w:val="double" w:sz="6" w:space="0" w:color="000000"/>
          <w:left w:val="single" w:sz="8" w:space="0" w:color="000000"/>
          <w:bottom w:val="single" w:sz="8" w:space="0" w:color="000000"/>
          <w:right w:val="single" w:sz="8" w:space="0" w:color="000000"/>
        </w:tcBorders>
      </w:tcPr>
    </w:tblStylePr>
    <w:tblStylePr w:type="band1Horz">
      <w:pPr/>
      <w:tblPr/>
      <w:tcPr>
        <w:tcBorders>
          <w:top w:val="single" w:sz="8" w:space="0" w:color="000000"/>
          <w:left w:val="single" w:sz="8" w:space="0" w:color="000000"/>
          <w:bottom w:val="single" w:sz="8" w:space="0" w:color="000000"/>
          <w:right w:val="single" w:sz="8" w:space="0" w:color="000000"/>
        </w:tcBorders>
      </w:tcPr>
    </w:tblStylePr>
    <w:tblStylePr w:type="firstCol">
      <w:pPr/>
      <w:rPr>
        <w:b/>
        <w:bCs/>
      </w:rPr>
      <w:tcPr>
        <w:tcBorders/>
      </w:tcPr>
    </w:tblStylePr>
    <w:tblStylePr w:type="lastCol">
      <w:pPr/>
      <w:rPr>
        <w:b/>
        <w:bCs/>
      </w:rPr>
      <w:tcPr>
        <w:tcBorders/>
      </w:tcPr>
    </w:tblStylePr>
    <w:tblStylePr w:type="band1Vert">
      <w:pPr/>
      <w:tblPr/>
      <w:tcPr>
        <w:tcBorders>
          <w:top w:val="single" w:sz="8" w:space="0" w:color="000000"/>
          <w:left w:val="single" w:sz="8" w:space="0" w:color="000000"/>
          <w:bottom w:val="single" w:sz="8" w:space="0" w:color="000000"/>
          <w:right w:val="single" w:sz="8" w:space="0" w:color="000000"/>
        </w:tcBorders>
      </w:tcPr>
    </w:tblStylePr>
    <w:tcPr>
      <w:tcBorders/>
    </w:tcPr>
  </w:style>
  <w:style w:type="table" w:styleId="style173">
    <w:name w:val="Light List Accent 1"/>
    <w:basedOn w:val="style105"/>
    <w:next w:val="style173"/>
    <w:uiPriority w:val="61"/>
    <w:pPr>
      <w:spacing w:after="0" w:lineRule="auto" w:line="240"/>
    </w:pP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Rule="auto" w:line="240"/>
      </w:pPr>
      <w:rPr>
        <w:b/>
        <w:bCs/>
        <w:color w:val="ffffff"/>
      </w:rPr>
      <w:tblPr/>
      <w:tcPr>
        <w:tcBorders/>
        <w:shd w:val="clear" w:color="auto" w:fill="4f81bd"/>
      </w:tcPr>
    </w:tblStylePr>
    <w:tblStylePr w:type="lastRow">
      <w:pPr>
        <w:spacing w:before="0" w:after="0" w:lineRule="auto" w:line="240"/>
      </w:pPr>
      <w:rPr>
        <w:b/>
        <w:bCs/>
      </w:rPr>
      <w:tblPr/>
      <w:tcPr>
        <w:tcBorders>
          <w:top w:val="double" w:sz="6" w:space="0" w:color="4f81bd"/>
          <w:left w:val="single" w:sz="8" w:space="0" w:color="4f81bd"/>
          <w:bottom w:val="single" w:sz="8" w:space="0" w:color="4f81bd"/>
          <w:right w:val="single" w:sz="8" w:space="0" w:color="4f81bd"/>
        </w:tcBorders>
      </w:tcPr>
    </w:tblStylePr>
    <w:tblStylePr w:type="band1Horz">
      <w:pPr/>
      <w:tblPr/>
      <w:tcPr>
        <w:tcBorders>
          <w:top w:val="single" w:sz="8" w:space="0" w:color="4f81bd"/>
          <w:left w:val="single" w:sz="8" w:space="0" w:color="4f81bd"/>
          <w:bottom w:val="single" w:sz="8" w:space="0" w:color="4f81bd"/>
          <w:right w:val="single" w:sz="8" w:space="0" w:color="4f81bd"/>
        </w:tcBorders>
      </w:tcPr>
    </w:tblStylePr>
    <w:tblStylePr w:type="firstCol">
      <w:pPr/>
      <w:rPr>
        <w:b/>
        <w:bCs/>
      </w:rPr>
      <w:tcPr>
        <w:tcBorders/>
      </w:tcPr>
    </w:tblStylePr>
    <w:tblStylePr w:type="lastCol">
      <w:pPr/>
      <w:rPr>
        <w:b/>
        <w:bCs/>
      </w:rPr>
      <w:tcPr>
        <w:tcBorders/>
      </w:tcPr>
    </w:tblStylePr>
    <w:tblStylePr w:type="band1Vert">
      <w:pPr/>
      <w:tblPr/>
      <w:tcPr>
        <w:tcBorders>
          <w:top w:val="single" w:sz="8" w:space="0" w:color="4f81bd"/>
          <w:left w:val="single" w:sz="8" w:space="0" w:color="4f81bd"/>
          <w:bottom w:val="single" w:sz="8" w:space="0" w:color="4f81bd"/>
          <w:right w:val="single" w:sz="8" w:space="0" w:color="4f81bd"/>
        </w:tcBorders>
      </w:tcPr>
    </w:tblStylePr>
    <w:tcPr>
      <w:tcBorders/>
    </w:tcPr>
  </w:style>
  <w:style w:type="table" w:styleId="style191">
    <w:name w:val="Light List Accent 2"/>
    <w:basedOn w:val="style105"/>
    <w:next w:val="style191"/>
    <w:uiPriority w:val="61"/>
    <w:pPr>
      <w:spacing w:after="0" w:lineRule="auto" w:line="240"/>
    </w:pPr>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Rule="auto" w:line="240"/>
      </w:pPr>
      <w:rPr>
        <w:b/>
        <w:bCs/>
        <w:color w:val="ffffff"/>
      </w:rPr>
      <w:tblPr/>
      <w:tcPr>
        <w:tcBorders/>
        <w:shd w:val="clear" w:color="auto" w:fill="c0504d"/>
      </w:tcPr>
    </w:tblStylePr>
    <w:tblStylePr w:type="lastRow">
      <w:pPr>
        <w:spacing w:before="0" w:after="0" w:lineRule="auto" w:line="240"/>
      </w:pPr>
      <w:rPr>
        <w:b/>
        <w:bCs/>
      </w:rPr>
      <w:tblPr/>
      <w:tcPr>
        <w:tcBorders>
          <w:top w:val="double" w:sz="6" w:space="0" w:color="c0504d"/>
          <w:left w:val="single" w:sz="8" w:space="0" w:color="c0504d"/>
          <w:bottom w:val="single" w:sz="8" w:space="0" w:color="c0504d"/>
          <w:right w:val="single" w:sz="8" w:space="0" w:color="c0504d"/>
        </w:tcBorders>
      </w:tcPr>
    </w:tblStylePr>
    <w:tblStylePr w:type="band1Horz">
      <w:pPr/>
      <w:tblPr/>
      <w:tcPr>
        <w:tcBorders>
          <w:top w:val="single" w:sz="8" w:space="0" w:color="c0504d"/>
          <w:left w:val="single" w:sz="8" w:space="0" w:color="c0504d"/>
          <w:bottom w:val="single" w:sz="8" w:space="0" w:color="c0504d"/>
          <w:right w:val="single" w:sz="8" w:space="0" w:color="c0504d"/>
        </w:tcBorders>
      </w:tcPr>
    </w:tblStylePr>
    <w:tblStylePr w:type="firstCol">
      <w:pPr/>
      <w:rPr>
        <w:b/>
        <w:bCs/>
      </w:rPr>
      <w:tcPr>
        <w:tcBorders/>
      </w:tcPr>
    </w:tblStylePr>
    <w:tblStylePr w:type="lastCol">
      <w:pPr/>
      <w:rPr>
        <w:b/>
        <w:bCs/>
      </w:rPr>
      <w:tcPr>
        <w:tcBorders/>
      </w:tcPr>
    </w:tblStylePr>
    <w:tblStylePr w:type="band1Vert">
      <w:pPr/>
      <w:tblPr/>
      <w:tcPr>
        <w:tcBorders>
          <w:top w:val="single" w:sz="8" w:space="0" w:color="c0504d"/>
          <w:left w:val="single" w:sz="8" w:space="0" w:color="c0504d"/>
          <w:bottom w:val="single" w:sz="8" w:space="0" w:color="c0504d"/>
          <w:right w:val="single" w:sz="8" w:space="0" w:color="c0504d"/>
        </w:tcBorders>
      </w:tcPr>
    </w:tblStylePr>
    <w:tcPr>
      <w:tcBorders/>
    </w:tcPr>
  </w:style>
  <w:style w:type="table" w:styleId="style205">
    <w:name w:val="Light List Accent 3"/>
    <w:basedOn w:val="style105"/>
    <w:next w:val="style205"/>
    <w:uiPriority w:val="61"/>
    <w:pPr>
      <w:spacing w:after="0" w:lineRule="auto" w:line="240"/>
    </w:pPr>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Rule="auto" w:line="240"/>
      </w:pPr>
      <w:rPr>
        <w:b/>
        <w:bCs/>
        <w:color w:val="ffffff"/>
      </w:rPr>
      <w:tblPr/>
      <w:tcPr>
        <w:tcBorders/>
        <w:shd w:val="clear" w:color="auto" w:fill="9bbb59"/>
      </w:tcPr>
    </w:tblStylePr>
    <w:tblStylePr w:type="lastRow">
      <w:pPr>
        <w:spacing w:before="0" w:after="0" w:lineRule="auto" w:line="240"/>
      </w:pPr>
      <w:rPr>
        <w:b/>
        <w:bCs/>
      </w:rPr>
      <w:tblPr/>
      <w:tcPr>
        <w:tcBorders>
          <w:top w:val="double" w:sz="6" w:space="0" w:color="9bbb59"/>
          <w:left w:val="single" w:sz="8" w:space="0" w:color="9bbb59"/>
          <w:bottom w:val="single" w:sz="8" w:space="0" w:color="9bbb59"/>
          <w:right w:val="single" w:sz="8" w:space="0" w:color="9bbb59"/>
        </w:tcBorders>
      </w:tcPr>
    </w:tblStylePr>
    <w:tblStylePr w:type="band1Horz">
      <w:pPr/>
      <w:tblPr/>
      <w:tcPr>
        <w:tcBorders>
          <w:top w:val="single" w:sz="8" w:space="0" w:color="9bbb59"/>
          <w:left w:val="single" w:sz="8" w:space="0" w:color="9bbb59"/>
          <w:bottom w:val="single" w:sz="8" w:space="0" w:color="9bbb59"/>
          <w:right w:val="single" w:sz="8" w:space="0" w:color="9bbb59"/>
        </w:tcBorders>
      </w:tcPr>
    </w:tblStylePr>
    <w:tblStylePr w:type="firstCol">
      <w:pPr/>
      <w:rPr>
        <w:b/>
        <w:bCs/>
      </w:rPr>
      <w:tcPr>
        <w:tcBorders/>
      </w:tcPr>
    </w:tblStylePr>
    <w:tblStylePr w:type="lastCol">
      <w:pPr/>
      <w:rPr>
        <w:b/>
        <w:bCs/>
      </w:rPr>
      <w:tcPr>
        <w:tcBorders/>
      </w:tcPr>
    </w:tblStylePr>
    <w:tblStylePr w:type="band1Vert">
      <w:pPr/>
      <w:tblPr/>
      <w:tcPr>
        <w:tcBorders>
          <w:top w:val="single" w:sz="8" w:space="0" w:color="9bbb59"/>
          <w:left w:val="single" w:sz="8" w:space="0" w:color="9bbb59"/>
          <w:bottom w:val="single" w:sz="8" w:space="0" w:color="9bbb59"/>
          <w:right w:val="single" w:sz="8" w:space="0" w:color="9bbb59"/>
        </w:tcBorders>
      </w:tcPr>
    </w:tblStylePr>
    <w:tcPr>
      <w:tcBorders/>
    </w:tcPr>
  </w:style>
  <w:style w:type="table" w:styleId="style219">
    <w:name w:val="Light List Accent 4"/>
    <w:basedOn w:val="style105"/>
    <w:next w:val="style219"/>
    <w:uiPriority w:val="61"/>
    <w:pPr>
      <w:spacing w:after="0" w:lineRule="auto" w:line="240"/>
    </w:pPr>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Rule="auto" w:line="240"/>
      </w:pPr>
      <w:rPr>
        <w:b/>
        <w:bCs/>
        <w:color w:val="ffffff"/>
      </w:rPr>
      <w:tblPr/>
      <w:tcPr>
        <w:tcBorders/>
        <w:shd w:val="clear" w:color="auto" w:fill="8064a2"/>
      </w:tcPr>
    </w:tblStylePr>
    <w:tblStylePr w:type="lastRow">
      <w:pPr>
        <w:spacing w:before="0" w:after="0" w:lineRule="auto" w:line="240"/>
      </w:pPr>
      <w:rPr>
        <w:b/>
        <w:bCs/>
      </w:rPr>
      <w:tblPr/>
      <w:tcPr>
        <w:tcBorders>
          <w:top w:val="double" w:sz="6" w:space="0" w:color="8064a2"/>
          <w:left w:val="single" w:sz="8" w:space="0" w:color="8064a2"/>
          <w:bottom w:val="single" w:sz="8" w:space="0" w:color="8064a2"/>
          <w:right w:val="single" w:sz="8" w:space="0" w:color="8064a2"/>
        </w:tcBorders>
      </w:tcPr>
    </w:tblStylePr>
    <w:tblStylePr w:type="band1Horz">
      <w:pPr/>
      <w:tblPr/>
      <w:tcPr>
        <w:tcBorders>
          <w:top w:val="single" w:sz="8" w:space="0" w:color="8064a2"/>
          <w:left w:val="single" w:sz="8" w:space="0" w:color="8064a2"/>
          <w:bottom w:val="single" w:sz="8" w:space="0" w:color="8064a2"/>
          <w:right w:val="single" w:sz="8" w:space="0" w:color="8064a2"/>
        </w:tcBorders>
      </w:tcPr>
    </w:tblStylePr>
    <w:tblStylePr w:type="firstCol">
      <w:pPr/>
      <w:rPr>
        <w:b/>
        <w:bCs/>
      </w:rPr>
      <w:tcPr>
        <w:tcBorders/>
      </w:tcPr>
    </w:tblStylePr>
    <w:tblStylePr w:type="lastCol">
      <w:pPr/>
      <w:rPr>
        <w:b/>
        <w:bCs/>
      </w:rPr>
      <w:tcPr>
        <w:tcBorders/>
      </w:tcPr>
    </w:tblStylePr>
    <w:tblStylePr w:type="band1Vert">
      <w:pPr/>
      <w:tblPr/>
      <w:tcPr>
        <w:tcBorders>
          <w:top w:val="single" w:sz="8" w:space="0" w:color="8064a2"/>
          <w:left w:val="single" w:sz="8" w:space="0" w:color="8064a2"/>
          <w:bottom w:val="single" w:sz="8" w:space="0" w:color="8064a2"/>
          <w:right w:val="single" w:sz="8" w:space="0" w:color="8064a2"/>
        </w:tcBorders>
      </w:tcPr>
    </w:tblStylePr>
    <w:tcPr>
      <w:tcBorders/>
    </w:tcPr>
  </w:style>
  <w:style w:type="table" w:styleId="style233">
    <w:name w:val="Light List Accent 5"/>
    <w:basedOn w:val="style105"/>
    <w:next w:val="style233"/>
    <w:uiPriority w:val="61"/>
    <w:pPr>
      <w:spacing w:after="0" w:lineRule="auto" w:line="240"/>
    </w:pPr>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Rule="auto" w:line="240"/>
      </w:pPr>
      <w:rPr>
        <w:b/>
        <w:bCs/>
        <w:color w:val="ffffff"/>
      </w:rPr>
      <w:tblPr/>
      <w:tcPr>
        <w:tcBorders/>
        <w:shd w:val="clear" w:color="auto" w:fill="4bacc6"/>
      </w:tcPr>
    </w:tblStylePr>
    <w:tblStylePr w:type="lastRow">
      <w:pPr>
        <w:spacing w:before="0" w:after="0" w:lineRule="auto" w:line="240"/>
      </w:pPr>
      <w:rPr>
        <w:b/>
        <w:bCs/>
      </w:rPr>
      <w:tblPr/>
      <w:tcPr>
        <w:tcBorders>
          <w:top w:val="double" w:sz="6" w:space="0" w:color="4bacc6"/>
          <w:left w:val="single" w:sz="8" w:space="0" w:color="4bacc6"/>
          <w:bottom w:val="single" w:sz="8" w:space="0" w:color="4bacc6"/>
          <w:right w:val="single" w:sz="8" w:space="0" w:color="4bacc6"/>
        </w:tcBorders>
      </w:tcPr>
    </w:tblStylePr>
    <w:tblStylePr w:type="band1Horz">
      <w:pPr/>
      <w:tblPr/>
      <w:tcPr>
        <w:tcBorders>
          <w:top w:val="single" w:sz="8" w:space="0" w:color="4bacc6"/>
          <w:left w:val="single" w:sz="8" w:space="0" w:color="4bacc6"/>
          <w:bottom w:val="single" w:sz="8" w:space="0" w:color="4bacc6"/>
          <w:right w:val="single" w:sz="8" w:space="0" w:color="4bacc6"/>
        </w:tcBorders>
      </w:tcPr>
    </w:tblStylePr>
    <w:tblStylePr w:type="firstCol">
      <w:pPr/>
      <w:rPr>
        <w:b/>
        <w:bCs/>
      </w:rPr>
      <w:tcPr>
        <w:tcBorders/>
      </w:tcPr>
    </w:tblStylePr>
    <w:tblStylePr w:type="lastCol">
      <w:pPr/>
      <w:rPr>
        <w:b/>
        <w:bCs/>
      </w:rPr>
      <w:tcPr>
        <w:tcBorders/>
      </w:tcPr>
    </w:tblStylePr>
    <w:tblStylePr w:type="band1Vert">
      <w:pPr/>
      <w:tblPr/>
      <w:tcPr>
        <w:tcBorders>
          <w:top w:val="single" w:sz="8" w:space="0" w:color="4bacc6"/>
          <w:left w:val="single" w:sz="8" w:space="0" w:color="4bacc6"/>
          <w:bottom w:val="single" w:sz="8" w:space="0" w:color="4bacc6"/>
          <w:right w:val="single" w:sz="8" w:space="0" w:color="4bacc6"/>
        </w:tcBorders>
      </w:tcPr>
    </w:tblStylePr>
    <w:tcPr>
      <w:tcBorders/>
    </w:tcPr>
  </w:style>
  <w:style w:type="table" w:styleId="style247">
    <w:name w:val="Light List Accent 6"/>
    <w:basedOn w:val="style105"/>
    <w:next w:val="style247"/>
    <w:uiPriority w:val="61"/>
    <w:pPr>
      <w:spacing w:after="0" w:lineRule="auto" w:line="240"/>
    </w:pPr>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Rule="auto" w:line="240"/>
      </w:pPr>
      <w:rPr>
        <w:b/>
        <w:bCs/>
        <w:color w:val="ffffff"/>
      </w:rPr>
      <w:tblPr/>
      <w:tcPr>
        <w:tcBorders/>
        <w:shd w:val="clear" w:color="auto" w:fill="f79646"/>
      </w:tcPr>
    </w:tblStylePr>
    <w:tblStylePr w:type="lastRow">
      <w:pPr>
        <w:spacing w:before="0" w:after="0" w:lineRule="auto" w:line="240"/>
      </w:pPr>
      <w:rPr>
        <w:b/>
        <w:bCs/>
      </w:rPr>
      <w:tblPr/>
      <w:tcPr>
        <w:tcBorders>
          <w:top w:val="double" w:sz="6" w:space="0" w:color="f79646"/>
          <w:left w:val="single" w:sz="8" w:space="0" w:color="f79646"/>
          <w:bottom w:val="single" w:sz="8" w:space="0" w:color="f79646"/>
          <w:right w:val="single" w:sz="8" w:space="0" w:color="f79646"/>
        </w:tcBorders>
      </w:tcPr>
    </w:tblStylePr>
    <w:tblStylePr w:type="band1Horz">
      <w:pPr/>
      <w:tblPr/>
      <w:tcPr>
        <w:tcBorders>
          <w:top w:val="single" w:sz="8" w:space="0" w:color="f79646"/>
          <w:left w:val="single" w:sz="8" w:space="0" w:color="f79646"/>
          <w:bottom w:val="single" w:sz="8" w:space="0" w:color="f79646"/>
          <w:right w:val="single" w:sz="8" w:space="0" w:color="f79646"/>
        </w:tcBorders>
      </w:tcPr>
    </w:tblStylePr>
    <w:tblStylePr w:type="firstCol">
      <w:pPr/>
      <w:rPr>
        <w:b/>
        <w:bCs/>
      </w:rPr>
      <w:tcPr>
        <w:tcBorders/>
      </w:tcPr>
    </w:tblStylePr>
    <w:tblStylePr w:type="lastCol">
      <w:pPr/>
      <w:rPr>
        <w:b/>
        <w:bCs/>
      </w:rPr>
      <w:tcPr>
        <w:tcBorders/>
      </w:tcPr>
    </w:tblStylePr>
    <w:tblStylePr w:type="band1Vert">
      <w:pPr/>
      <w:tblPr/>
      <w:tcPr>
        <w:tcBorders>
          <w:top w:val="single" w:sz="8" w:space="0" w:color="f79646"/>
          <w:left w:val="single" w:sz="8" w:space="0" w:color="f79646"/>
          <w:bottom w:val="single" w:sz="8" w:space="0" w:color="f79646"/>
          <w:right w:val="single" w:sz="8" w:space="0" w:color="f79646"/>
        </w:tcBorders>
      </w:tcPr>
    </w:tblStylePr>
    <w:tcPr>
      <w:tcBorders/>
    </w:tcPr>
  </w:style>
  <w:style w:type="table" w:styleId="style160">
    <w:name w:val="Light Grid"/>
    <w:basedOn w:val="style105"/>
    <w:next w:val="style160"/>
    <w:uiPriority w:val="62"/>
    <w:pPr>
      <w:spacing w:after="0" w:lineRule="auto" w:line="240"/>
    </w:pPr>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Rule="auto" w:line="240"/>
      </w:pPr>
      <w:rPr>
        <w:rFonts w:ascii="Calibri" w:cs="宋体" w:eastAsia="ＭＳ ゴシック" w:hAnsi="Calibri"/>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Rule="auto" w:line="240"/>
      </w:pPr>
      <w:rPr>
        <w:rFonts w:ascii="Calibri" w:cs="宋体" w:eastAsia="ＭＳ ゴシック" w:hAnsi="Calibri"/>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band1Horz">
      <w:p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pPr/>
      <w:tblPr/>
      <w:tcPr>
        <w:tcBorders>
          <w:top w:val="single" w:sz="8" w:space="0" w:color="000000"/>
          <w:left w:val="single" w:sz="8" w:space="0" w:color="000000"/>
          <w:bottom w:val="single" w:sz="8" w:space="0" w:color="000000"/>
          <w:right w:val="single" w:sz="8" w:space="0" w:color="000000"/>
          <w:insideV w:val="single" w:sz="8" w:space="0" w:color="000000"/>
        </w:tcBorders>
      </w:tcPr>
    </w:tblStylePr>
    <w:tblStylePr w:type="firstCol">
      <w:pPr/>
      <w:rPr>
        <w:rFonts w:ascii="Calibri" w:cs="宋体" w:eastAsia="ＭＳ ゴシック" w:hAnsi="Calibri"/>
        <w:b/>
        <w:bCs/>
      </w:rPr>
      <w:tcPr>
        <w:tcBorders/>
      </w:tcPr>
    </w:tblStylePr>
    <w:tblStylePr w:type="lastCol">
      <w:pPr/>
      <w:rPr>
        <w:rFonts w:ascii="Calibri" w:cs="宋体" w:eastAsia="ＭＳ ゴシック" w:hAnsi="Calibri"/>
        <w:b/>
        <w:bCs/>
      </w:rPr>
      <w:tblPr/>
      <w:tcPr>
        <w:tcBorders>
          <w:top w:val="single" w:sz="8" w:space="0" w:color="000000"/>
          <w:left w:val="single" w:sz="8" w:space="0" w:color="000000"/>
          <w:bottom w:val="single" w:sz="8" w:space="0" w:color="000000"/>
          <w:right w:val="single" w:sz="8" w:space="0" w:color="000000"/>
        </w:tcBorders>
      </w:tcPr>
    </w:tblStylePr>
    <w:tblStylePr w:type="band1Vert">
      <w:pPr/>
      <w:tblPr/>
      <w:tcPr>
        <w:tcBorders>
          <w:top w:val="single" w:sz="8" w:space="0" w:color="000000"/>
          <w:left w:val="single" w:sz="8" w:space="0" w:color="000000"/>
          <w:bottom w:val="single" w:sz="8" w:space="0" w:color="000000"/>
          <w:right w:val="single" w:sz="8" w:space="0" w:color="000000"/>
        </w:tcBorders>
        <w:shd w:val="clear" w:color="auto" w:fill="c0c0c0"/>
      </w:tcPr>
    </w:tblStylePr>
    <w:tcPr>
      <w:tcBorders/>
    </w:tcPr>
  </w:style>
  <w:style w:type="table" w:styleId="style174">
    <w:name w:val="Light Grid Accent 1"/>
    <w:basedOn w:val="style105"/>
    <w:next w:val="style174"/>
    <w:uiPriority w:val="62"/>
    <w:pPr>
      <w:spacing w:after="0" w:lineRule="auto" w:line="240"/>
    </w:pPr>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Rule="auto" w:line="240"/>
      </w:pPr>
      <w:rPr>
        <w:rFonts w:ascii="Calibri" w:cs="宋体" w:eastAsia="ＭＳ ゴシック" w:hAnsi="Calibri"/>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Rule="auto" w:line="240"/>
      </w:pPr>
      <w:rPr>
        <w:rFonts w:ascii="Calibri" w:cs="宋体" w:eastAsia="ＭＳ ゴシック" w:hAnsi="Calibri"/>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band1Horz">
      <w:p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pPr/>
      <w:tblPr/>
      <w:tcPr>
        <w:tcBorders>
          <w:top w:val="single" w:sz="8" w:space="0" w:color="4f81bd"/>
          <w:left w:val="single" w:sz="8" w:space="0" w:color="4f81bd"/>
          <w:bottom w:val="single" w:sz="8" w:space="0" w:color="4f81bd"/>
          <w:right w:val="single" w:sz="8" w:space="0" w:color="4f81bd"/>
          <w:insideV w:val="single" w:sz="8" w:space="0" w:color="4f81bd"/>
        </w:tcBorders>
      </w:tcPr>
    </w:tblStylePr>
    <w:tblStylePr w:type="firstCol">
      <w:pPr/>
      <w:rPr>
        <w:rFonts w:ascii="Calibri" w:cs="宋体" w:eastAsia="ＭＳ ゴシック" w:hAnsi="Calibri"/>
        <w:b/>
        <w:bCs/>
      </w:rPr>
      <w:tcPr>
        <w:tcBorders/>
      </w:tcPr>
    </w:tblStylePr>
    <w:tblStylePr w:type="lastCol">
      <w:pPr/>
      <w:rPr>
        <w:rFonts w:ascii="Calibri" w:cs="宋体" w:eastAsia="ＭＳ ゴシック" w:hAnsi="Calibri"/>
        <w:b/>
        <w:bCs/>
      </w:rPr>
      <w:tblPr/>
      <w:tcPr>
        <w:tcBorders>
          <w:top w:val="single" w:sz="8" w:space="0" w:color="4f81bd"/>
          <w:left w:val="single" w:sz="8" w:space="0" w:color="4f81bd"/>
          <w:bottom w:val="single" w:sz="8" w:space="0" w:color="4f81bd"/>
          <w:right w:val="single" w:sz="8" w:space="0" w:color="4f81bd"/>
        </w:tcBorders>
      </w:tcPr>
    </w:tblStylePr>
    <w:tblStylePr w:type="band1Vert">
      <w:pPr/>
      <w:tblPr/>
      <w:tcPr>
        <w:tcBorders>
          <w:top w:val="single" w:sz="8" w:space="0" w:color="4f81bd"/>
          <w:left w:val="single" w:sz="8" w:space="0" w:color="4f81bd"/>
          <w:bottom w:val="single" w:sz="8" w:space="0" w:color="4f81bd"/>
          <w:right w:val="single" w:sz="8" w:space="0" w:color="4f81bd"/>
        </w:tcBorders>
        <w:shd w:val="clear" w:color="auto" w:fill="d3dfee"/>
      </w:tcPr>
    </w:tblStylePr>
    <w:tcPr>
      <w:tcBorders/>
    </w:tcPr>
  </w:style>
  <w:style w:type="table" w:styleId="style192">
    <w:name w:val="Light Grid Accent 2"/>
    <w:basedOn w:val="style105"/>
    <w:next w:val="style192"/>
    <w:uiPriority w:val="62"/>
    <w:pPr>
      <w:spacing w:after="0" w:lineRule="auto" w:line="240"/>
    </w:pPr>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Rule="auto" w:line="240"/>
      </w:pPr>
      <w:rPr>
        <w:rFonts w:ascii="Calibri" w:cs="宋体" w:eastAsia="ＭＳ ゴシック" w:hAnsi="Calibri"/>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Rule="auto" w:line="240"/>
      </w:pPr>
      <w:rPr>
        <w:rFonts w:ascii="Calibri" w:cs="宋体" w:eastAsia="ＭＳ ゴシック" w:hAnsi="Calibri"/>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band1Horz">
      <w:p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pPr/>
      <w:tblPr/>
      <w:tcPr>
        <w:tcBorders>
          <w:top w:val="single" w:sz="8" w:space="0" w:color="c0504d"/>
          <w:left w:val="single" w:sz="8" w:space="0" w:color="c0504d"/>
          <w:bottom w:val="single" w:sz="8" w:space="0" w:color="c0504d"/>
          <w:right w:val="single" w:sz="8" w:space="0" w:color="c0504d"/>
          <w:insideV w:val="single" w:sz="8" w:space="0" w:color="c0504d"/>
        </w:tcBorders>
      </w:tcPr>
    </w:tblStylePr>
    <w:tblStylePr w:type="firstCol">
      <w:pPr/>
      <w:rPr>
        <w:rFonts w:ascii="Calibri" w:cs="宋体" w:eastAsia="ＭＳ ゴシック" w:hAnsi="Calibri"/>
        <w:b/>
        <w:bCs/>
      </w:rPr>
      <w:tcPr>
        <w:tcBorders/>
      </w:tcPr>
    </w:tblStylePr>
    <w:tblStylePr w:type="lastCol">
      <w:pPr/>
      <w:rPr>
        <w:rFonts w:ascii="Calibri" w:cs="宋体" w:eastAsia="ＭＳ ゴシック" w:hAnsi="Calibri"/>
        <w:b/>
        <w:bCs/>
      </w:rPr>
      <w:tblPr/>
      <w:tcPr>
        <w:tcBorders>
          <w:top w:val="single" w:sz="8" w:space="0" w:color="c0504d"/>
          <w:left w:val="single" w:sz="8" w:space="0" w:color="c0504d"/>
          <w:bottom w:val="single" w:sz="8" w:space="0" w:color="c0504d"/>
          <w:right w:val="single" w:sz="8" w:space="0" w:color="c0504d"/>
        </w:tcBorders>
      </w:tcPr>
    </w:tblStylePr>
    <w:tblStylePr w:type="band1Vert">
      <w:pPr/>
      <w:tblPr/>
      <w:tcPr>
        <w:tcBorders>
          <w:top w:val="single" w:sz="8" w:space="0" w:color="c0504d"/>
          <w:left w:val="single" w:sz="8" w:space="0" w:color="c0504d"/>
          <w:bottom w:val="single" w:sz="8" w:space="0" w:color="c0504d"/>
          <w:right w:val="single" w:sz="8" w:space="0" w:color="c0504d"/>
        </w:tcBorders>
        <w:shd w:val="clear" w:color="auto" w:fill="efd3d2"/>
      </w:tcPr>
    </w:tblStylePr>
    <w:tcPr>
      <w:tcBorders/>
    </w:tcPr>
  </w:style>
  <w:style w:type="table" w:styleId="style206">
    <w:name w:val="Light Grid Accent 3"/>
    <w:basedOn w:val="style105"/>
    <w:next w:val="style206"/>
    <w:uiPriority w:val="62"/>
    <w:pPr>
      <w:spacing w:after="0" w:lineRule="auto" w:line="240"/>
    </w:pPr>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Rule="auto" w:line="240"/>
      </w:pPr>
      <w:rPr>
        <w:rFonts w:ascii="Calibri" w:cs="宋体" w:eastAsia="ＭＳ ゴシック" w:hAnsi="Calibri"/>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Rule="auto" w:line="240"/>
      </w:pPr>
      <w:rPr>
        <w:rFonts w:ascii="Calibri" w:cs="宋体" w:eastAsia="ＭＳ ゴシック" w:hAnsi="Calibri"/>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band1Horz">
      <w:p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pPr/>
      <w:tblPr/>
      <w:tcPr>
        <w:tcBorders>
          <w:top w:val="single" w:sz="8" w:space="0" w:color="9bbb59"/>
          <w:left w:val="single" w:sz="8" w:space="0" w:color="9bbb59"/>
          <w:bottom w:val="single" w:sz="8" w:space="0" w:color="9bbb59"/>
          <w:right w:val="single" w:sz="8" w:space="0" w:color="9bbb59"/>
          <w:insideV w:val="single" w:sz="8" w:space="0" w:color="9bbb59"/>
        </w:tcBorders>
      </w:tcPr>
    </w:tblStylePr>
    <w:tblStylePr w:type="firstCol">
      <w:pPr/>
      <w:rPr>
        <w:rFonts w:ascii="Calibri" w:cs="宋体" w:eastAsia="ＭＳ ゴシック" w:hAnsi="Calibri"/>
        <w:b/>
        <w:bCs/>
      </w:rPr>
      <w:tcPr>
        <w:tcBorders/>
      </w:tcPr>
    </w:tblStylePr>
    <w:tblStylePr w:type="lastCol">
      <w:pPr/>
      <w:rPr>
        <w:rFonts w:ascii="Calibri" w:cs="宋体" w:eastAsia="ＭＳ ゴシック" w:hAnsi="Calibri"/>
        <w:b/>
        <w:bCs/>
      </w:rPr>
      <w:tblPr/>
      <w:tcPr>
        <w:tcBorders>
          <w:top w:val="single" w:sz="8" w:space="0" w:color="9bbb59"/>
          <w:left w:val="single" w:sz="8" w:space="0" w:color="9bbb59"/>
          <w:bottom w:val="single" w:sz="8" w:space="0" w:color="9bbb59"/>
          <w:right w:val="single" w:sz="8" w:space="0" w:color="9bbb59"/>
        </w:tcBorders>
      </w:tcPr>
    </w:tblStylePr>
    <w:tblStylePr w:type="band1Vert">
      <w:pPr/>
      <w:tblPr/>
      <w:tcPr>
        <w:tcBorders>
          <w:top w:val="single" w:sz="8" w:space="0" w:color="9bbb59"/>
          <w:left w:val="single" w:sz="8" w:space="0" w:color="9bbb59"/>
          <w:bottom w:val="single" w:sz="8" w:space="0" w:color="9bbb59"/>
          <w:right w:val="single" w:sz="8" w:space="0" w:color="9bbb59"/>
        </w:tcBorders>
        <w:shd w:val="clear" w:color="auto" w:fill="e6eed5"/>
      </w:tcPr>
    </w:tblStylePr>
    <w:tcPr>
      <w:tcBorders/>
    </w:tcPr>
  </w:style>
  <w:style w:type="table" w:styleId="style220">
    <w:name w:val="Light Grid Accent 4"/>
    <w:basedOn w:val="style105"/>
    <w:next w:val="style220"/>
    <w:uiPriority w:val="62"/>
    <w:pPr>
      <w:spacing w:after="0" w:lineRule="auto" w:line="240"/>
    </w:pPr>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Rule="auto" w:line="240"/>
      </w:pPr>
      <w:rPr>
        <w:rFonts w:ascii="Calibri" w:cs="宋体" w:eastAsia="ＭＳ ゴシック" w:hAnsi="Calibri"/>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Rule="auto" w:line="240"/>
      </w:pPr>
      <w:rPr>
        <w:rFonts w:ascii="Calibri" w:cs="宋体" w:eastAsia="ＭＳ ゴシック" w:hAnsi="Calibri"/>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band1Horz">
      <w:p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pPr/>
      <w:tblPr/>
      <w:tcPr>
        <w:tcBorders>
          <w:top w:val="single" w:sz="8" w:space="0" w:color="8064a2"/>
          <w:left w:val="single" w:sz="8" w:space="0" w:color="8064a2"/>
          <w:bottom w:val="single" w:sz="8" w:space="0" w:color="8064a2"/>
          <w:right w:val="single" w:sz="8" w:space="0" w:color="8064a2"/>
          <w:insideV w:val="single" w:sz="8" w:space="0" w:color="8064a2"/>
        </w:tcBorders>
      </w:tcPr>
    </w:tblStylePr>
    <w:tblStylePr w:type="firstCol">
      <w:pPr/>
      <w:rPr>
        <w:rFonts w:ascii="Calibri" w:cs="宋体" w:eastAsia="ＭＳ ゴシック" w:hAnsi="Calibri"/>
        <w:b/>
        <w:bCs/>
      </w:rPr>
      <w:tcPr>
        <w:tcBorders/>
      </w:tcPr>
    </w:tblStylePr>
    <w:tblStylePr w:type="lastCol">
      <w:pPr/>
      <w:rPr>
        <w:rFonts w:ascii="Calibri" w:cs="宋体" w:eastAsia="ＭＳ ゴシック" w:hAnsi="Calibri"/>
        <w:b/>
        <w:bCs/>
      </w:rPr>
      <w:tblPr/>
      <w:tcPr>
        <w:tcBorders>
          <w:top w:val="single" w:sz="8" w:space="0" w:color="8064a2"/>
          <w:left w:val="single" w:sz="8" w:space="0" w:color="8064a2"/>
          <w:bottom w:val="single" w:sz="8" w:space="0" w:color="8064a2"/>
          <w:right w:val="single" w:sz="8" w:space="0" w:color="8064a2"/>
        </w:tcBorders>
      </w:tcPr>
    </w:tblStylePr>
    <w:tblStylePr w:type="band1Vert">
      <w:pPr/>
      <w:tblPr/>
      <w:tcPr>
        <w:tcBorders>
          <w:top w:val="single" w:sz="8" w:space="0" w:color="8064a2"/>
          <w:left w:val="single" w:sz="8" w:space="0" w:color="8064a2"/>
          <w:bottom w:val="single" w:sz="8" w:space="0" w:color="8064a2"/>
          <w:right w:val="single" w:sz="8" w:space="0" w:color="8064a2"/>
        </w:tcBorders>
        <w:shd w:val="clear" w:color="auto" w:fill="dfd8e8"/>
      </w:tcPr>
    </w:tblStylePr>
    <w:tcPr>
      <w:tcBorders/>
    </w:tcPr>
  </w:style>
  <w:style w:type="table" w:styleId="style234">
    <w:name w:val="Light Grid Accent 5"/>
    <w:basedOn w:val="style105"/>
    <w:next w:val="style234"/>
    <w:uiPriority w:val="62"/>
    <w:pPr>
      <w:spacing w:after="0" w:lineRule="auto" w:line="240"/>
    </w:pPr>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Rule="auto" w:line="240"/>
      </w:pPr>
      <w:rPr>
        <w:rFonts w:ascii="Calibri" w:cs="宋体" w:eastAsia="ＭＳ ゴシック" w:hAnsi="Calibri"/>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Rule="auto" w:line="240"/>
      </w:pPr>
      <w:rPr>
        <w:rFonts w:ascii="Calibri" w:cs="宋体" w:eastAsia="ＭＳ ゴシック" w:hAnsi="Calibri"/>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band1Horz">
      <w:p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pPr/>
      <w:tblPr/>
      <w:tcPr>
        <w:tcBorders>
          <w:top w:val="single" w:sz="8" w:space="0" w:color="4bacc6"/>
          <w:left w:val="single" w:sz="8" w:space="0" w:color="4bacc6"/>
          <w:bottom w:val="single" w:sz="8" w:space="0" w:color="4bacc6"/>
          <w:right w:val="single" w:sz="8" w:space="0" w:color="4bacc6"/>
          <w:insideV w:val="single" w:sz="8" w:space="0" w:color="4bacc6"/>
        </w:tcBorders>
      </w:tcPr>
    </w:tblStylePr>
    <w:tblStylePr w:type="firstCol">
      <w:pPr/>
      <w:rPr>
        <w:rFonts w:ascii="Calibri" w:cs="宋体" w:eastAsia="ＭＳ ゴシック" w:hAnsi="Calibri"/>
        <w:b/>
        <w:bCs/>
      </w:rPr>
      <w:tcPr>
        <w:tcBorders/>
      </w:tcPr>
    </w:tblStylePr>
    <w:tblStylePr w:type="lastCol">
      <w:pPr/>
      <w:rPr>
        <w:rFonts w:ascii="Calibri" w:cs="宋体" w:eastAsia="ＭＳ ゴシック" w:hAnsi="Calibri"/>
        <w:b/>
        <w:bCs/>
      </w:rPr>
      <w:tblPr/>
      <w:tcPr>
        <w:tcBorders>
          <w:top w:val="single" w:sz="8" w:space="0" w:color="4bacc6"/>
          <w:left w:val="single" w:sz="8" w:space="0" w:color="4bacc6"/>
          <w:bottom w:val="single" w:sz="8" w:space="0" w:color="4bacc6"/>
          <w:right w:val="single" w:sz="8" w:space="0" w:color="4bacc6"/>
        </w:tcBorders>
      </w:tcPr>
    </w:tblStylePr>
    <w:tblStylePr w:type="band1Vert">
      <w:pPr/>
      <w:tblPr/>
      <w:tcPr>
        <w:tcBorders>
          <w:top w:val="single" w:sz="8" w:space="0" w:color="4bacc6"/>
          <w:left w:val="single" w:sz="8" w:space="0" w:color="4bacc6"/>
          <w:bottom w:val="single" w:sz="8" w:space="0" w:color="4bacc6"/>
          <w:right w:val="single" w:sz="8" w:space="0" w:color="4bacc6"/>
        </w:tcBorders>
        <w:shd w:val="clear" w:color="auto" w:fill="d2eaf1"/>
      </w:tcPr>
    </w:tblStylePr>
    <w:tcPr>
      <w:tcBorders/>
    </w:tcPr>
  </w:style>
  <w:style w:type="table" w:styleId="style248">
    <w:name w:val="Light Grid Accent 6"/>
    <w:basedOn w:val="style105"/>
    <w:next w:val="style248"/>
    <w:uiPriority w:val="62"/>
    <w:pPr>
      <w:spacing w:after="0" w:lineRule="auto" w:line="240"/>
    </w:pPr>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Rule="auto" w:line="240"/>
      </w:pPr>
      <w:rPr>
        <w:rFonts w:ascii="Calibri" w:cs="宋体" w:eastAsia="ＭＳ ゴシック" w:hAnsi="Calibri"/>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Rule="auto" w:line="240"/>
      </w:pPr>
      <w:rPr>
        <w:rFonts w:ascii="Calibri" w:cs="宋体" w:eastAsia="ＭＳ ゴシック" w:hAnsi="Calibri"/>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band1Horz">
      <w:p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pPr/>
      <w:tblPr/>
      <w:tcPr>
        <w:tcBorders>
          <w:top w:val="single" w:sz="8" w:space="0" w:color="f79646"/>
          <w:left w:val="single" w:sz="8" w:space="0" w:color="f79646"/>
          <w:bottom w:val="single" w:sz="8" w:space="0" w:color="f79646"/>
          <w:right w:val="single" w:sz="8" w:space="0" w:color="f79646"/>
          <w:insideV w:val="single" w:sz="8" w:space="0" w:color="f79646"/>
        </w:tcBorders>
      </w:tcPr>
    </w:tblStylePr>
    <w:tblStylePr w:type="firstCol">
      <w:pPr/>
      <w:rPr>
        <w:rFonts w:ascii="Calibri" w:cs="宋体" w:eastAsia="ＭＳ ゴシック" w:hAnsi="Calibri"/>
        <w:b/>
        <w:bCs/>
      </w:rPr>
      <w:tcPr>
        <w:tcBorders/>
      </w:tcPr>
    </w:tblStylePr>
    <w:tblStylePr w:type="lastCol">
      <w:pPr/>
      <w:rPr>
        <w:rFonts w:ascii="Calibri" w:cs="宋体" w:eastAsia="ＭＳ ゴシック" w:hAnsi="Calibri"/>
        <w:b/>
        <w:bCs/>
      </w:rPr>
      <w:tblPr/>
      <w:tcPr>
        <w:tcBorders>
          <w:top w:val="single" w:sz="8" w:space="0" w:color="f79646"/>
          <w:left w:val="single" w:sz="8" w:space="0" w:color="f79646"/>
          <w:bottom w:val="single" w:sz="8" w:space="0" w:color="f79646"/>
          <w:right w:val="single" w:sz="8" w:space="0" w:color="f79646"/>
        </w:tcBorders>
      </w:tcPr>
    </w:tblStylePr>
    <w:tblStylePr w:type="band1Vert">
      <w:pPr/>
      <w:tblPr/>
      <w:tcPr>
        <w:tcBorders>
          <w:top w:val="single" w:sz="8" w:space="0" w:color="f79646"/>
          <w:left w:val="single" w:sz="8" w:space="0" w:color="f79646"/>
          <w:bottom w:val="single" w:sz="8" w:space="0" w:color="f79646"/>
          <w:right w:val="single" w:sz="8" w:space="0" w:color="f79646"/>
        </w:tcBorders>
        <w:shd w:val="clear" w:color="auto" w:fill="fde4d0"/>
      </w:tcPr>
    </w:tblStylePr>
    <w:tcPr>
      <w:tcBorders/>
    </w:tcPr>
  </w:style>
  <w:style w:type="table" w:styleId="style161">
    <w:name w:val="Medium Shading 1"/>
    <w:basedOn w:val="style105"/>
    <w:next w:val="style161"/>
    <w:uiPriority w:val="63"/>
    <w:pPr>
      <w:spacing w:after="0" w:lineRule="auto" w:line="240"/>
    </w:pPr>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Rule="auto" w:line="24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band1Horz">
      <w:pPr/>
      <w:tblPr/>
      <w:tcPr>
        <w:tcBorders>
          <w:insideH w:val="nil"/>
          <w:insideV w:val="nil"/>
        </w:tcBorders>
        <w:shd w:val="clear" w:color="auto" w:fill="c0c0c0"/>
      </w:tcPr>
    </w:tblStylePr>
    <w:tblStylePr w:type="band2Horz">
      <w:pPr/>
      <w:tblPr/>
      <w:tcPr>
        <w:tcBorders>
          <w:insideH w:val="nil"/>
          <w:insideV w:val="nil"/>
        </w:tcBorders>
      </w:tcPr>
    </w:tblStylePr>
    <w:tblStylePr w:type="firstCol">
      <w:pPr/>
      <w:rPr>
        <w:b/>
        <w:bCs/>
      </w:rPr>
      <w:tcPr>
        <w:tcBorders/>
      </w:tcPr>
    </w:tblStylePr>
    <w:tblStylePr w:type="lastCol">
      <w:pPr/>
      <w:rPr>
        <w:b/>
        <w:bCs/>
      </w:rPr>
      <w:tcPr>
        <w:tcBorders/>
      </w:tcPr>
    </w:tblStylePr>
    <w:tblStylePr w:type="band1Vert">
      <w:pPr/>
      <w:tblPr/>
      <w:tcPr>
        <w:tcBorders/>
        <w:shd w:val="clear" w:color="auto" w:fill="c0c0c0"/>
      </w:tcPr>
    </w:tblStylePr>
    <w:tcPr>
      <w:tcBorders/>
    </w:tcPr>
  </w:style>
  <w:style w:type="table" w:styleId="style175">
    <w:name w:val="Medium Shading 1 Accent 1"/>
    <w:basedOn w:val="style105"/>
    <w:next w:val="style175"/>
    <w:uiPriority w:val="63"/>
    <w:pPr>
      <w:spacing w:after="0" w:lineRule="auto" w:line="240"/>
    </w:pPr>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Rule="auto" w:line="240"/>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band1Horz">
      <w:pPr/>
      <w:tblPr/>
      <w:tcPr>
        <w:tcBorders>
          <w:insideH w:val="nil"/>
          <w:insideV w:val="nil"/>
        </w:tcBorders>
        <w:shd w:val="clear" w:color="auto" w:fill="d3dfee"/>
      </w:tcPr>
    </w:tblStylePr>
    <w:tblStylePr w:type="band2Horz">
      <w:pPr/>
      <w:tblPr/>
      <w:tcPr>
        <w:tcBorders>
          <w:insideH w:val="nil"/>
          <w:insideV w:val="nil"/>
        </w:tcBorders>
      </w:tcPr>
    </w:tblStylePr>
    <w:tblStylePr w:type="firstCol">
      <w:pPr/>
      <w:rPr>
        <w:b/>
        <w:bCs/>
      </w:rPr>
      <w:tcPr>
        <w:tcBorders/>
      </w:tcPr>
    </w:tblStylePr>
    <w:tblStylePr w:type="lastCol">
      <w:pPr/>
      <w:rPr>
        <w:b/>
        <w:bCs/>
      </w:rPr>
      <w:tcPr>
        <w:tcBorders/>
      </w:tcPr>
    </w:tblStylePr>
    <w:tblStylePr w:type="band1Vert">
      <w:pPr/>
      <w:tblPr/>
      <w:tcPr>
        <w:tcBorders/>
        <w:shd w:val="clear" w:color="auto" w:fill="d3dfee"/>
      </w:tcPr>
    </w:tblStylePr>
    <w:tcPr>
      <w:tcBorders/>
    </w:tcPr>
  </w:style>
  <w:style w:type="table" w:styleId="style193">
    <w:name w:val="Medium Shading 1 Accent 2"/>
    <w:basedOn w:val="style105"/>
    <w:next w:val="style193"/>
    <w:uiPriority w:val="63"/>
    <w:pPr>
      <w:spacing w:after="0" w:lineRule="auto" w:line="240"/>
    </w:pPr>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Rule="auto" w:line="240"/>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band1Horz">
      <w:pPr/>
      <w:tblPr/>
      <w:tcPr>
        <w:tcBorders>
          <w:insideH w:val="nil"/>
          <w:insideV w:val="nil"/>
        </w:tcBorders>
        <w:shd w:val="clear" w:color="auto" w:fill="efd3d2"/>
      </w:tcPr>
    </w:tblStylePr>
    <w:tblStylePr w:type="band2Horz">
      <w:pPr/>
      <w:tblPr/>
      <w:tcPr>
        <w:tcBorders>
          <w:insideH w:val="nil"/>
          <w:insideV w:val="nil"/>
        </w:tcBorders>
      </w:tcPr>
    </w:tblStylePr>
    <w:tblStylePr w:type="firstCol">
      <w:pPr/>
      <w:rPr>
        <w:b/>
        <w:bCs/>
      </w:rPr>
      <w:tcPr>
        <w:tcBorders/>
      </w:tcPr>
    </w:tblStylePr>
    <w:tblStylePr w:type="lastCol">
      <w:pPr/>
      <w:rPr>
        <w:b/>
        <w:bCs/>
      </w:rPr>
      <w:tcPr>
        <w:tcBorders/>
      </w:tcPr>
    </w:tblStylePr>
    <w:tblStylePr w:type="band1Vert">
      <w:pPr/>
      <w:tblPr/>
      <w:tcPr>
        <w:tcBorders/>
        <w:shd w:val="clear" w:color="auto" w:fill="efd3d2"/>
      </w:tcPr>
    </w:tblStylePr>
    <w:tcPr>
      <w:tcBorders/>
    </w:tcPr>
  </w:style>
  <w:style w:type="table" w:styleId="style207">
    <w:name w:val="Medium Shading 1 Accent 3"/>
    <w:basedOn w:val="style105"/>
    <w:next w:val="style207"/>
    <w:uiPriority w:val="63"/>
    <w:pPr>
      <w:spacing w:after="0" w:lineRule="auto" w:line="240"/>
    </w:pPr>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Rule="auto" w:line="240"/>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band1Horz">
      <w:pPr/>
      <w:tblPr/>
      <w:tcPr>
        <w:tcBorders>
          <w:insideH w:val="nil"/>
          <w:insideV w:val="nil"/>
        </w:tcBorders>
        <w:shd w:val="clear" w:color="auto" w:fill="e6eed5"/>
      </w:tcPr>
    </w:tblStylePr>
    <w:tblStylePr w:type="band2Horz">
      <w:pPr/>
      <w:tblPr/>
      <w:tcPr>
        <w:tcBorders>
          <w:insideH w:val="nil"/>
          <w:insideV w:val="nil"/>
        </w:tcBorders>
      </w:tcPr>
    </w:tblStylePr>
    <w:tblStylePr w:type="firstCol">
      <w:pPr/>
      <w:rPr>
        <w:b/>
        <w:bCs/>
      </w:rPr>
      <w:tcPr>
        <w:tcBorders/>
      </w:tcPr>
    </w:tblStylePr>
    <w:tblStylePr w:type="lastCol">
      <w:pPr/>
      <w:rPr>
        <w:b/>
        <w:bCs/>
      </w:rPr>
      <w:tcPr>
        <w:tcBorders/>
      </w:tcPr>
    </w:tblStylePr>
    <w:tblStylePr w:type="band1Vert">
      <w:pPr/>
      <w:tblPr/>
      <w:tcPr>
        <w:tcBorders/>
        <w:shd w:val="clear" w:color="auto" w:fill="e6eed5"/>
      </w:tcPr>
    </w:tblStylePr>
    <w:tcPr>
      <w:tcBorders/>
    </w:tcPr>
  </w:style>
  <w:style w:type="table" w:styleId="style221">
    <w:name w:val="Medium Shading 1 Accent 4"/>
    <w:basedOn w:val="style105"/>
    <w:next w:val="style221"/>
    <w:uiPriority w:val="63"/>
    <w:pPr>
      <w:spacing w:after="0" w:lineRule="auto" w:line="240"/>
    </w:pPr>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Rule="auto" w:line="240"/>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band1Horz">
      <w:pPr/>
      <w:tblPr/>
      <w:tcPr>
        <w:tcBorders>
          <w:insideH w:val="nil"/>
          <w:insideV w:val="nil"/>
        </w:tcBorders>
        <w:shd w:val="clear" w:color="auto" w:fill="dfd8e8"/>
      </w:tcPr>
    </w:tblStylePr>
    <w:tblStylePr w:type="band2Horz">
      <w:pPr/>
      <w:tblPr/>
      <w:tcPr>
        <w:tcBorders>
          <w:insideH w:val="nil"/>
          <w:insideV w:val="nil"/>
        </w:tcBorders>
      </w:tcPr>
    </w:tblStylePr>
    <w:tblStylePr w:type="firstCol">
      <w:pPr/>
      <w:rPr>
        <w:b/>
        <w:bCs/>
      </w:rPr>
      <w:tcPr>
        <w:tcBorders/>
      </w:tcPr>
    </w:tblStylePr>
    <w:tblStylePr w:type="lastCol">
      <w:pPr/>
      <w:rPr>
        <w:b/>
        <w:bCs/>
      </w:rPr>
      <w:tcPr>
        <w:tcBorders/>
      </w:tcPr>
    </w:tblStylePr>
    <w:tblStylePr w:type="band1Vert">
      <w:pPr/>
      <w:tblPr/>
      <w:tcPr>
        <w:tcBorders/>
        <w:shd w:val="clear" w:color="auto" w:fill="dfd8e8"/>
      </w:tcPr>
    </w:tblStylePr>
    <w:tcPr>
      <w:tcBorders/>
    </w:tcPr>
  </w:style>
  <w:style w:type="table" w:styleId="style235">
    <w:name w:val="Medium Shading 1 Accent 5"/>
    <w:basedOn w:val="style105"/>
    <w:next w:val="style235"/>
    <w:uiPriority w:val="63"/>
    <w:pPr>
      <w:spacing w:after="0" w:lineRule="auto" w:line="240"/>
    </w:pPr>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Rule="auto" w:line="24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band1Horz">
      <w:pPr/>
      <w:tblPr/>
      <w:tcPr>
        <w:tcBorders>
          <w:insideH w:val="nil"/>
          <w:insideV w:val="nil"/>
        </w:tcBorders>
        <w:shd w:val="clear" w:color="auto" w:fill="d2eaf1"/>
      </w:tcPr>
    </w:tblStylePr>
    <w:tblStylePr w:type="band2Horz">
      <w:pPr/>
      <w:tblPr/>
      <w:tcPr>
        <w:tcBorders>
          <w:insideH w:val="nil"/>
          <w:insideV w:val="nil"/>
        </w:tcBorders>
      </w:tcPr>
    </w:tblStylePr>
    <w:tblStylePr w:type="firstCol">
      <w:pPr/>
      <w:rPr>
        <w:b/>
        <w:bCs/>
      </w:rPr>
      <w:tcPr>
        <w:tcBorders/>
      </w:tcPr>
    </w:tblStylePr>
    <w:tblStylePr w:type="lastCol">
      <w:pPr/>
      <w:rPr>
        <w:b/>
        <w:bCs/>
      </w:rPr>
      <w:tcPr>
        <w:tcBorders/>
      </w:tcPr>
    </w:tblStylePr>
    <w:tblStylePr w:type="band1Vert">
      <w:pPr/>
      <w:tblPr/>
      <w:tcPr>
        <w:tcBorders/>
        <w:shd w:val="clear" w:color="auto" w:fill="d2eaf1"/>
      </w:tcPr>
    </w:tblStylePr>
    <w:tcPr>
      <w:tcBorders/>
    </w:tcPr>
  </w:style>
  <w:style w:type="table" w:styleId="style249">
    <w:name w:val="Medium Shading 1 Accent 6"/>
    <w:basedOn w:val="style105"/>
    <w:next w:val="style249"/>
    <w:uiPriority w:val="63"/>
    <w:pPr>
      <w:spacing w:after="0" w:lineRule="auto" w:line="240"/>
    </w:pPr>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Rule="auto" w:line="240"/>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band1Horz">
      <w:pPr/>
      <w:tblPr/>
      <w:tcPr>
        <w:tcBorders>
          <w:insideH w:val="nil"/>
          <w:insideV w:val="nil"/>
        </w:tcBorders>
        <w:shd w:val="clear" w:color="auto" w:fill="fde4d0"/>
      </w:tcPr>
    </w:tblStylePr>
    <w:tblStylePr w:type="band2Horz">
      <w:pPr/>
      <w:tblPr/>
      <w:tcPr>
        <w:tcBorders>
          <w:insideH w:val="nil"/>
          <w:insideV w:val="nil"/>
        </w:tcBorders>
      </w:tcPr>
    </w:tblStylePr>
    <w:tblStylePr w:type="firstCol">
      <w:pPr/>
      <w:rPr>
        <w:b/>
        <w:bCs/>
      </w:rPr>
      <w:tcPr>
        <w:tcBorders/>
      </w:tcPr>
    </w:tblStylePr>
    <w:tblStylePr w:type="lastCol">
      <w:pPr/>
      <w:rPr>
        <w:b/>
        <w:bCs/>
      </w:rPr>
      <w:tcPr>
        <w:tcBorders/>
      </w:tcPr>
    </w:tblStylePr>
    <w:tblStylePr w:type="band1Vert">
      <w:pPr/>
      <w:tblPr/>
      <w:tcPr>
        <w:tcBorders/>
        <w:shd w:val="clear" w:color="auto" w:fill="fde4d0"/>
      </w:tcPr>
    </w:tblStylePr>
    <w:tcPr>
      <w:tcBorders/>
    </w:tcPr>
  </w:style>
  <w:style w:type="table" w:styleId="style162">
    <w:name w:val="Medium Shading 2"/>
    <w:basedOn w:val="style105"/>
    <w:next w:val="style162"/>
    <w:uiPriority w:val="64"/>
    <w:pPr>
      <w:spacing w:after="0" w:lineRule="auto" w:line="240"/>
    </w:pP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Rule="auto" w:line="24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band1Horz">
      <w:pPr/>
      <w:tblPr/>
      <w:tcPr>
        <w:tcBorders/>
        <w:shd w:val="clear" w:color="auto" w:fill="d8d8d8"/>
      </w:tcPr>
    </w:tblStylePr>
    <w:tblStylePr w:type="firstCol">
      <w:pPr/>
      <w:rPr>
        <w:b/>
        <w:bCs/>
        <w:color w:val="ffffff"/>
      </w:rPr>
      <w:tblPr/>
      <w:tcPr>
        <w:tcBorders>
          <w:top w:val="nil"/>
          <w:left w:val="nil"/>
          <w:bottom w:val="single" w:sz="18" w:space="0" w:color="auto"/>
          <w:right w:val="nil"/>
          <w:insideH w:val="nil"/>
          <w:insideV w:val="nil"/>
        </w:tcBorders>
        <w:shd w:val="clear" w:color="auto" w:fill="000000"/>
      </w:tcPr>
    </w:tblStylePr>
    <w:tblStylePr w:type="lastCol">
      <w:pPr/>
      <w:rPr>
        <w:b/>
        <w:bCs/>
        <w:color w:val="ffffff"/>
      </w:rPr>
      <w:tblPr/>
      <w:tcPr>
        <w:tcBorders>
          <w:left w:val="nil"/>
          <w:right w:val="nil"/>
          <w:insideH w:val="nil"/>
          <w:insideV w:val="nil"/>
        </w:tcBorders>
        <w:shd w:val="clear" w:color="auto" w:fill="000000"/>
      </w:tcPr>
    </w:tblStylePr>
    <w:tblStylePr w:type="band1Vert">
      <w:pPr/>
      <w:tblPr/>
      <w:tcPr>
        <w:tcBorders>
          <w:left w:val="nil"/>
          <w:right w:val="nil"/>
          <w:insideH w:val="nil"/>
          <w:insideV w:val="nil"/>
        </w:tcBorders>
        <w:shd w:val="clear" w:color="auto" w:fill="d8d8d8"/>
      </w:tcPr>
    </w:tblStylePr>
    <w:tblStylePr w:type="neCell">
      <w:pPr/>
      <w:tblPr/>
      <w:tcPr>
        <w:tcBorders>
          <w:top w:val="single" w:sz="18" w:space="0" w:color="auto"/>
          <w:left w:val="nil"/>
          <w:bottom w:val="single" w:sz="18" w:space="0" w:color="auto"/>
          <w:right w:val="nil"/>
          <w:insideH w:val="nil"/>
          <w:insideV w:val="nil"/>
        </w:tcBorders>
      </w:tcPr>
    </w:tblStylePr>
    <w:tblStylePr w:type="nwCell">
      <w:pPr/>
      <w:rPr>
        <w:color w:val="ffffff"/>
      </w:rPr>
      <w:tblPr/>
      <w:tcPr>
        <w:tcBorders>
          <w:top w:val="single" w:sz="18" w:space="0" w:color="auto"/>
          <w:left w:val="nil"/>
          <w:bottom w:val="single" w:sz="18" w:space="0" w:color="auto"/>
          <w:right w:val="nil"/>
          <w:insideH w:val="nil"/>
          <w:insideV w:val="nil"/>
        </w:tcBorders>
      </w:tcPr>
    </w:tblStylePr>
    <w:tcPr>
      <w:tcBorders/>
    </w:tcPr>
  </w:style>
  <w:style w:type="table" w:styleId="style176">
    <w:name w:val="Medium Shading 2 Accent 1"/>
    <w:basedOn w:val="style105"/>
    <w:next w:val="style176"/>
    <w:uiPriority w:val="64"/>
    <w:pPr>
      <w:spacing w:after="0" w:lineRule="auto" w:line="240"/>
    </w:pP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Rule="auto" w:line="24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band1Horz">
      <w:pPr/>
      <w:tblPr/>
      <w:tcPr>
        <w:tcBorders/>
        <w:shd w:val="clear" w:color="auto" w:fill="d8d8d8"/>
      </w:tcPr>
    </w:tblStylePr>
    <w:tblStylePr w:type="firstCol">
      <w:pPr/>
      <w:rPr>
        <w:b/>
        <w:bCs/>
        <w:color w:val="ffffff"/>
      </w:rPr>
      <w:tblPr/>
      <w:tcPr>
        <w:tcBorders>
          <w:top w:val="nil"/>
          <w:left w:val="nil"/>
          <w:bottom w:val="single" w:sz="18" w:space="0" w:color="auto"/>
          <w:right w:val="nil"/>
          <w:insideH w:val="nil"/>
          <w:insideV w:val="nil"/>
        </w:tcBorders>
        <w:shd w:val="clear" w:color="auto" w:fill="4f81bd"/>
      </w:tcPr>
    </w:tblStylePr>
    <w:tblStylePr w:type="lastCol">
      <w:pPr/>
      <w:rPr>
        <w:b/>
        <w:bCs/>
        <w:color w:val="ffffff"/>
      </w:rPr>
      <w:tblPr/>
      <w:tcPr>
        <w:tcBorders>
          <w:left w:val="nil"/>
          <w:right w:val="nil"/>
          <w:insideH w:val="nil"/>
          <w:insideV w:val="nil"/>
        </w:tcBorders>
        <w:shd w:val="clear" w:color="auto" w:fill="4f81bd"/>
      </w:tcPr>
    </w:tblStylePr>
    <w:tblStylePr w:type="band1Vert">
      <w:pPr/>
      <w:tblPr/>
      <w:tcPr>
        <w:tcBorders>
          <w:left w:val="nil"/>
          <w:right w:val="nil"/>
          <w:insideH w:val="nil"/>
          <w:insideV w:val="nil"/>
        </w:tcBorders>
        <w:shd w:val="clear" w:color="auto" w:fill="d8d8d8"/>
      </w:tcPr>
    </w:tblStylePr>
    <w:tblStylePr w:type="neCell">
      <w:pPr/>
      <w:tblPr/>
      <w:tcPr>
        <w:tcBorders>
          <w:top w:val="single" w:sz="18" w:space="0" w:color="auto"/>
          <w:left w:val="nil"/>
          <w:bottom w:val="single" w:sz="18" w:space="0" w:color="auto"/>
          <w:right w:val="nil"/>
          <w:insideH w:val="nil"/>
          <w:insideV w:val="nil"/>
        </w:tcBorders>
      </w:tcPr>
    </w:tblStylePr>
    <w:tblStylePr w:type="nwCell">
      <w:pPr/>
      <w:rPr>
        <w:color w:val="ffffff"/>
      </w:rPr>
      <w:tblPr/>
      <w:tcPr>
        <w:tcBorders>
          <w:top w:val="single" w:sz="18" w:space="0" w:color="auto"/>
          <w:left w:val="nil"/>
          <w:bottom w:val="single" w:sz="18" w:space="0" w:color="auto"/>
          <w:right w:val="nil"/>
          <w:insideH w:val="nil"/>
          <w:insideV w:val="nil"/>
        </w:tcBorders>
      </w:tcPr>
    </w:tblStylePr>
    <w:tcPr>
      <w:tcBorders/>
    </w:tcPr>
  </w:style>
  <w:style w:type="table" w:styleId="style194">
    <w:name w:val="Medium Shading 2 Accent 2"/>
    <w:basedOn w:val="style105"/>
    <w:next w:val="style194"/>
    <w:uiPriority w:val="64"/>
    <w:pPr>
      <w:spacing w:after="0" w:lineRule="auto" w:line="240"/>
    </w:pP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Rule="auto" w:line="24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band1Horz">
      <w:pPr/>
      <w:tblPr/>
      <w:tcPr>
        <w:tcBorders/>
        <w:shd w:val="clear" w:color="auto" w:fill="d8d8d8"/>
      </w:tcPr>
    </w:tblStylePr>
    <w:tblStylePr w:type="firstCol">
      <w:pPr/>
      <w:rPr>
        <w:b/>
        <w:bCs/>
        <w:color w:val="ffffff"/>
      </w:rPr>
      <w:tblPr/>
      <w:tcPr>
        <w:tcBorders>
          <w:top w:val="nil"/>
          <w:left w:val="nil"/>
          <w:bottom w:val="single" w:sz="18" w:space="0" w:color="auto"/>
          <w:right w:val="nil"/>
          <w:insideH w:val="nil"/>
          <w:insideV w:val="nil"/>
        </w:tcBorders>
        <w:shd w:val="clear" w:color="auto" w:fill="c0504d"/>
      </w:tcPr>
    </w:tblStylePr>
    <w:tblStylePr w:type="lastCol">
      <w:pPr/>
      <w:rPr>
        <w:b/>
        <w:bCs/>
        <w:color w:val="ffffff"/>
      </w:rPr>
      <w:tblPr/>
      <w:tcPr>
        <w:tcBorders>
          <w:left w:val="nil"/>
          <w:right w:val="nil"/>
          <w:insideH w:val="nil"/>
          <w:insideV w:val="nil"/>
        </w:tcBorders>
        <w:shd w:val="clear" w:color="auto" w:fill="c0504d"/>
      </w:tcPr>
    </w:tblStylePr>
    <w:tblStylePr w:type="band1Vert">
      <w:pPr/>
      <w:tblPr/>
      <w:tcPr>
        <w:tcBorders>
          <w:left w:val="nil"/>
          <w:right w:val="nil"/>
          <w:insideH w:val="nil"/>
          <w:insideV w:val="nil"/>
        </w:tcBorders>
        <w:shd w:val="clear" w:color="auto" w:fill="d8d8d8"/>
      </w:tcPr>
    </w:tblStylePr>
    <w:tblStylePr w:type="neCell">
      <w:pPr/>
      <w:tblPr/>
      <w:tcPr>
        <w:tcBorders>
          <w:top w:val="single" w:sz="18" w:space="0" w:color="auto"/>
          <w:left w:val="nil"/>
          <w:bottom w:val="single" w:sz="18" w:space="0" w:color="auto"/>
          <w:right w:val="nil"/>
          <w:insideH w:val="nil"/>
          <w:insideV w:val="nil"/>
        </w:tcBorders>
      </w:tcPr>
    </w:tblStylePr>
    <w:tblStylePr w:type="nwCell">
      <w:pPr/>
      <w:rPr>
        <w:color w:val="ffffff"/>
      </w:rPr>
      <w:tblPr/>
      <w:tcPr>
        <w:tcBorders>
          <w:top w:val="single" w:sz="18" w:space="0" w:color="auto"/>
          <w:left w:val="nil"/>
          <w:bottom w:val="single" w:sz="18" w:space="0" w:color="auto"/>
          <w:right w:val="nil"/>
          <w:insideH w:val="nil"/>
          <w:insideV w:val="nil"/>
        </w:tcBorders>
      </w:tcPr>
    </w:tblStylePr>
    <w:tcPr>
      <w:tcBorders/>
    </w:tcPr>
  </w:style>
  <w:style w:type="table" w:styleId="style208">
    <w:name w:val="Medium Shading 2 Accent 3"/>
    <w:basedOn w:val="style105"/>
    <w:next w:val="style208"/>
    <w:uiPriority w:val="64"/>
    <w:pPr>
      <w:spacing w:after="0" w:lineRule="auto" w:line="240"/>
    </w:pP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Rule="auto" w:line="24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band1Horz">
      <w:pPr/>
      <w:tblPr/>
      <w:tcPr>
        <w:tcBorders/>
        <w:shd w:val="clear" w:color="auto" w:fill="d8d8d8"/>
      </w:tcPr>
    </w:tblStylePr>
    <w:tblStylePr w:type="firstCol">
      <w:pPr/>
      <w:rPr>
        <w:b/>
        <w:bCs/>
        <w:color w:val="ffffff"/>
      </w:rPr>
      <w:tblPr/>
      <w:tcPr>
        <w:tcBorders>
          <w:top w:val="nil"/>
          <w:left w:val="nil"/>
          <w:bottom w:val="single" w:sz="18" w:space="0" w:color="auto"/>
          <w:right w:val="nil"/>
          <w:insideH w:val="nil"/>
          <w:insideV w:val="nil"/>
        </w:tcBorders>
        <w:shd w:val="clear" w:color="auto" w:fill="9bbb59"/>
      </w:tcPr>
    </w:tblStylePr>
    <w:tblStylePr w:type="lastCol">
      <w:pPr/>
      <w:rPr>
        <w:b/>
        <w:bCs/>
        <w:color w:val="ffffff"/>
      </w:rPr>
      <w:tblPr/>
      <w:tcPr>
        <w:tcBorders>
          <w:left w:val="nil"/>
          <w:right w:val="nil"/>
          <w:insideH w:val="nil"/>
          <w:insideV w:val="nil"/>
        </w:tcBorders>
        <w:shd w:val="clear" w:color="auto" w:fill="9bbb59"/>
      </w:tcPr>
    </w:tblStylePr>
    <w:tblStylePr w:type="band1Vert">
      <w:pPr/>
      <w:tblPr/>
      <w:tcPr>
        <w:tcBorders>
          <w:left w:val="nil"/>
          <w:right w:val="nil"/>
          <w:insideH w:val="nil"/>
          <w:insideV w:val="nil"/>
        </w:tcBorders>
        <w:shd w:val="clear" w:color="auto" w:fill="d8d8d8"/>
      </w:tcPr>
    </w:tblStylePr>
    <w:tblStylePr w:type="neCell">
      <w:pPr/>
      <w:tblPr/>
      <w:tcPr>
        <w:tcBorders>
          <w:top w:val="single" w:sz="18" w:space="0" w:color="auto"/>
          <w:left w:val="nil"/>
          <w:bottom w:val="single" w:sz="18" w:space="0" w:color="auto"/>
          <w:right w:val="nil"/>
          <w:insideH w:val="nil"/>
          <w:insideV w:val="nil"/>
        </w:tcBorders>
      </w:tcPr>
    </w:tblStylePr>
    <w:tblStylePr w:type="nwCell">
      <w:pPr/>
      <w:rPr>
        <w:color w:val="ffffff"/>
      </w:rPr>
      <w:tblPr/>
      <w:tcPr>
        <w:tcBorders>
          <w:top w:val="single" w:sz="18" w:space="0" w:color="auto"/>
          <w:left w:val="nil"/>
          <w:bottom w:val="single" w:sz="18" w:space="0" w:color="auto"/>
          <w:right w:val="nil"/>
          <w:insideH w:val="nil"/>
          <w:insideV w:val="nil"/>
        </w:tcBorders>
      </w:tcPr>
    </w:tblStylePr>
    <w:tcPr>
      <w:tcBorders/>
    </w:tcPr>
  </w:style>
  <w:style w:type="table" w:styleId="style222">
    <w:name w:val="Medium Shading 2 Accent 4"/>
    <w:basedOn w:val="style105"/>
    <w:next w:val="style222"/>
    <w:uiPriority w:val="64"/>
    <w:pPr>
      <w:spacing w:after="0" w:lineRule="auto" w:line="240"/>
    </w:pP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Rule="auto" w:line="24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band1Horz">
      <w:pPr/>
      <w:tblPr/>
      <w:tcPr>
        <w:tcBorders/>
        <w:shd w:val="clear" w:color="auto" w:fill="d8d8d8"/>
      </w:tcPr>
    </w:tblStylePr>
    <w:tblStylePr w:type="firstCol">
      <w:pPr/>
      <w:rPr>
        <w:b/>
        <w:bCs/>
        <w:color w:val="ffffff"/>
      </w:rPr>
      <w:tblPr/>
      <w:tcPr>
        <w:tcBorders>
          <w:top w:val="nil"/>
          <w:left w:val="nil"/>
          <w:bottom w:val="single" w:sz="18" w:space="0" w:color="auto"/>
          <w:right w:val="nil"/>
          <w:insideH w:val="nil"/>
          <w:insideV w:val="nil"/>
        </w:tcBorders>
        <w:shd w:val="clear" w:color="auto" w:fill="8064a2"/>
      </w:tcPr>
    </w:tblStylePr>
    <w:tblStylePr w:type="lastCol">
      <w:pPr/>
      <w:rPr>
        <w:b/>
        <w:bCs/>
        <w:color w:val="ffffff"/>
      </w:rPr>
      <w:tblPr/>
      <w:tcPr>
        <w:tcBorders>
          <w:left w:val="nil"/>
          <w:right w:val="nil"/>
          <w:insideH w:val="nil"/>
          <w:insideV w:val="nil"/>
        </w:tcBorders>
        <w:shd w:val="clear" w:color="auto" w:fill="8064a2"/>
      </w:tcPr>
    </w:tblStylePr>
    <w:tblStylePr w:type="band1Vert">
      <w:pPr/>
      <w:tblPr/>
      <w:tcPr>
        <w:tcBorders>
          <w:left w:val="nil"/>
          <w:right w:val="nil"/>
          <w:insideH w:val="nil"/>
          <w:insideV w:val="nil"/>
        </w:tcBorders>
        <w:shd w:val="clear" w:color="auto" w:fill="d8d8d8"/>
      </w:tcPr>
    </w:tblStylePr>
    <w:tblStylePr w:type="neCell">
      <w:pPr/>
      <w:tblPr/>
      <w:tcPr>
        <w:tcBorders>
          <w:top w:val="single" w:sz="18" w:space="0" w:color="auto"/>
          <w:left w:val="nil"/>
          <w:bottom w:val="single" w:sz="18" w:space="0" w:color="auto"/>
          <w:right w:val="nil"/>
          <w:insideH w:val="nil"/>
          <w:insideV w:val="nil"/>
        </w:tcBorders>
      </w:tcPr>
    </w:tblStylePr>
    <w:tblStylePr w:type="nwCell">
      <w:pPr/>
      <w:rPr>
        <w:color w:val="ffffff"/>
      </w:rPr>
      <w:tblPr/>
      <w:tcPr>
        <w:tcBorders>
          <w:top w:val="single" w:sz="18" w:space="0" w:color="auto"/>
          <w:left w:val="nil"/>
          <w:bottom w:val="single" w:sz="18" w:space="0" w:color="auto"/>
          <w:right w:val="nil"/>
          <w:insideH w:val="nil"/>
          <w:insideV w:val="nil"/>
        </w:tcBorders>
      </w:tcPr>
    </w:tblStylePr>
    <w:tcPr>
      <w:tcBorders/>
    </w:tcPr>
  </w:style>
  <w:style w:type="table" w:styleId="style236">
    <w:name w:val="Medium Shading 2 Accent 5"/>
    <w:basedOn w:val="style105"/>
    <w:next w:val="style236"/>
    <w:uiPriority w:val="64"/>
    <w:pPr>
      <w:spacing w:after="0" w:lineRule="auto" w:line="240"/>
    </w:pP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Rule="auto" w:line="24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band1Horz">
      <w:pPr/>
      <w:tblPr/>
      <w:tcPr>
        <w:tcBorders/>
        <w:shd w:val="clear" w:color="auto" w:fill="d8d8d8"/>
      </w:tcPr>
    </w:tblStylePr>
    <w:tblStylePr w:type="firstCol">
      <w:pPr/>
      <w:rPr>
        <w:b/>
        <w:bCs/>
        <w:color w:val="ffffff"/>
      </w:rPr>
      <w:tblPr/>
      <w:tcPr>
        <w:tcBorders>
          <w:top w:val="nil"/>
          <w:left w:val="nil"/>
          <w:bottom w:val="single" w:sz="18" w:space="0" w:color="auto"/>
          <w:right w:val="nil"/>
          <w:insideH w:val="nil"/>
          <w:insideV w:val="nil"/>
        </w:tcBorders>
        <w:shd w:val="clear" w:color="auto" w:fill="4bacc6"/>
      </w:tcPr>
    </w:tblStylePr>
    <w:tblStylePr w:type="lastCol">
      <w:pPr/>
      <w:rPr>
        <w:b/>
        <w:bCs/>
        <w:color w:val="ffffff"/>
      </w:rPr>
      <w:tblPr/>
      <w:tcPr>
        <w:tcBorders>
          <w:left w:val="nil"/>
          <w:right w:val="nil"/>
          <w:insideH w:val="nil"/>
          <w:insideV w:val="nil"/>
        </w:tcBorders>
        <w:shd w:val="clear" w:color="auto" w:fill="4bacc6"/>
      </w:tcPr>
    </w:tblStylePr>
    <w:tblStylePr w:type="band1Vert">
      <w:pPr/>
      <w:tblPr/>
      <w:tcPr>
        <w:tcBorders>
          <w:left w:val="nil"/>
          <w:right w:val="nil"/>
          <w:insideH w:val="nil"/>
          <w:insideV w:val="nil"/>
        </w:tcBorders>
        <w:shd w:val="clear" w:color="auto" w:fill="d8d8d8"/>
      </w:tcPr>
    </w:tblStylePr>
    <w:tblStylePr w:type="neCell">
      <w:pPr/>
      <w:tblPr/>
      <w:tcPr>
        <w:tcBorders>
          <w:top w:val="single" w:sz="18" w:space="0" w:color="auto"/>
          <w:left w:val="nil"/>
          <w:bottom w:val="single" w:sz="18" w:space="0" w:color="auto"/>
          <w:right w:val="nil"/>
          <w:insideH w:val="nil"/>
          <w:insideV w:val="nil"/>
        </w:tcBorders>
      </w:tcPr>
    </w:tblStylePr>
    <w:tblStylePr w:type="nwCell">
      <w:pPr/>
      <w:rPr>
        <w:color w:val="ffffff"/>
      </w:rPr>
      <w:tblPr/>
      <w:tcPr>
        <w:tcBorders>
          <w:top w:val="single" w:sz="18" w:space="0" w:color="auto"/>
          <w:left w:val="nil"/>
          <w:bottom w:val="single" w:sz="18" w:space="0" w:color="auto"/>
          <w:right w:val="nil"/>
          <w:insideH w:val="nil"/>
          <w:insideV w:val="nil"/>
        </w:tcBorders>
      </w:tcPr>
    </w:tblStylePr>
    <w:tcPr>
      <w:tcBorders/>
    </w:tcPr>
  </w:style>
  <w:style w:type="table" w:styleId="style250">
    <w:name w:val="Medium Shading 2 Accent 6"/>
    <w:basedOn w:val="style105"/>
    <w:next w:val="style250"/>
    <w:uiPriority w:val="64"/>
    <w:pPr>
      <w:spacing w:after="0" w:lineRule="auto" w:line="240"/>
    </w:pP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Rule="auto" w:line="240"/>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Rule="auto" w:line="24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band1Horz">
      <w:pPr/>
      <w:tblPr/>
      <w:tcPr>
        <w:tcBorders/>
        <w:shd w:val="clear" w:color="auto" w:fill="d8d8d8"/>
      </w:tcPr>
    </w:tblStylePr>
    <w:tblStylePr w:type="firstCol">
      <w:pPr/>
      <w:rPr>
        <w:b/>
        <w:bCs/>
        <w:color w:val="ffffff"/>
      </w:rPr>
      <w:tblPr/>
      <w:tcPr>
        <w:tcBorders>
          <w:top w:val="nil"/>
          <w:left w:val="nil"/>
          <w:bottom w:val="single" w:sz="18" w:space="0" w:color="auto"/>
          <w:right w:val="nil"/>
          <w:insideH w:val="nil"/>
          <w:insideV w:val="nil"/>
        </w:tcBorders>
        <w:shd w:val="clear" w:color="auto" w:fill="f79646"/>
      </w:tcPr>
    </w:tblStylePr>
    <w:tblStylePr w:type="lastCol">
      <w:pPr/>
      <w:rPr>
        <w:b/>
        <w:bCs/>
        <w:color w:val="ffffff"/>
      </w:rPr>
      <w:tblPr/>
      <w:tcPr>
        <w:tcBorders>
          <w:left w:val="nil"/>
          <w:right w:val="nil"/>
          <w:insideH w:val="nil"/>
          <w:insideV w:val="nil"/>
        </w:tcBorders>
        <w:shd w:val="clear" w:color="auto" w:fill="f79646"/>
      </w:tcPr>
    </w:tblStylePr>
    <w:tblStylePr w:type="band1Vert">
      <w:pPr/>
      <w:tblPr/>
      <w:tcPr>
        <w:tcBorders>
          <w:left w:val="nil"/>
          <w:right w:val="nil"/>
          <w:insideH w:val="nil"/>
          <w:insideV w:val="nil"/>
        </w:tcBorders>
        <w:shd w:val="clear" w:color="auto" w:fill="d8d8d8"/>
      </w:tcPr>
    </w:tblStylePr>
    <w:tblStylePr w:type="neCell">
      <w:pPr/>
      <w:tblPr/>
      <w:tcPr>
        <w:tcBorders>
          <w:top w:val="single" w:sz="18" w:space="0" w:color="auto"/>
          <w:left w:val="nil"/>
          <w:bottom w:val="single" w:sz="18" w:space="0" w:color="auto"/>
          <w:right w:val="nil"/>
          <w:insideH w:val="nil"/>
          <w:insideV w:val="nil"/>
        </w:tcBorders>
      </w:tcPr>
    </w:tblStylePr>
    <w:tblStylePr w:type="nwCell">
      <w:pPr/>
      <w:rPr>
        <w:color w:val="ffffff"/>
      </w:rPr>
      <w:tblPr/>
      <w:tcPr>
        <w:tcBorders>
          <w:top w:val="single" w:sz="18" w:space="0" w:color="auto"/>
          <w:left w:val="nil"/>
          <w:bottom w:val="single" w:sz="18" w:space="0" w:color="auto"/>
          <w:right w:val="nil"/>
          <w:insideH w:val="nil"/>
          <w:insideV w:val="nil"/>
        </w:tcBorders>
      </w:tcPr>
    </w:tblStylePr>
    <w:tcPr>
      <w:tcBorders/>
    </w:tcPr>
  </w:style>
  <w:style w:type="table" w:styleId="style163">
    <w:name w:val="Medium List 1"/>
    <w:basedOn w:val="style105"/>
    <w:next w:val="style163"/>
    <w:uiPriority w:val="65"/>
    <w:pPr>
      <w:spacing w:after="0" w:lineRule="auto" w:line="240"/>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rPr>
        <w:rFonts w:ascii="Calibri" w:cs="宋体" w:eastAsia="ＭＳ ゴシック" w:hAnsi="Calibri"/>
      </w:rPr>
      <w:tblPr/>
      <w:tcPr>
        <w:tcBorders>
          <w:top w:val="nil"/>
          <w:bottom w:val="single" w:sz="8" w:space="0" w:color="000000"/>
        </w:tcBorders>
      </w:tcPr>
    </w:tblStylePr>
    <w:tblStylePr w:type="lastRow">
      <w:pPr/>
      <w:rPr>
        <w:b/>
        <w:bCs/>
        <w:color w:val="1f497d"/>
      </w:rPr>
      <w:tblPr/>
      <w:tcPr>
        <w:tcBorders>
          <w:top w:val="single" w:sz="8" w:space="0" w:color="000000"/>
          <w:bottom w:val="single" w:sz="8" w:space="0" w:color="000000"/>
        </w:tcBorders>
      </w:tcPr>
    </w:tblStylePr>
    <w:tblStylePr w:type="band1Horz">
      <w:pPr/>
      <w:tblPr/>
      <w:tcPr>
        <w:tcBorders/>
        <w:shd w:val="clear" w:color="auto" w:fill="c0c0c0"/>
      </w:tcPr>
    </w:tblStylePr>
    <w:tblStylePr w:type="firstCol">
      <w:pPr/>
      <w:rPr>
        <w:b/>
        <w:bCs/>
      </w:rPr>
      <w:tcPr>
        <w:tcBorders/>
      </w:tcPr>
    </w:tblStylePr>
    <w:tblStylePr w:type="lastCol">
      <w:pPr/>
      <w:rPr>
        <w:b/>
        <w:bCs/>
      </w:rPr>
      <w:tblPr/>
      <w:tcPr>
        <w:tcBorders>
          <w:top w:val="single" w:sz="8" w:space="0" w:color="000000"/>
          <w:bottom w:val="single" w:sz="8" w:space="0" w:color="000000"/>
        </w:tcBorders>
      </w:tcPr>
    </w:tblStylePr>
    <w:tblStylePr w:type="band1Vert">
      <w:pPr/>
      <w:tblPr/>
      <w:tcPr>
        <w:tcBorders/>
        <w:shd w:val="clear" w:color="auto" w:fill="c0c0c0"/>
      </w:tcPr>
    </w:tblStylePr>
    <w:tcPr>
      <w:tcBorders/>
    </w:tcPr>
  </w:style>
  <w:style w:type="table" w:styleId="style177">
    <w:name w:val="Medium List 1 Accent 1"/>
    <w:basedOn w:val="style105"/>
    <w:next w:val="style177"/>
    <w:uiPriority w:val="65"/>
    <w:pPr>
      <w:spacing w:after="0" w:lineRule="auto" w:line="240"/>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rPr>
        <w:rFonts w:ascii="Calibri" w:cs="宋体" w:eastAsia="ＭＳ ゴシック" w:hAnsi="Calibri"/>
      </w:rPr>
      <w:tblPr/>
      <w:tcPr>
        <w:tcBorders>
          <w:top w:val="nil"/>
          <w:bottom w:val="single" w:sz="8" w:space="0" w:color="4f81bd"/>
        </w:tcBorders>
      </w:tcPr>
    </w:tblStylePr>
    <w:tblStylePr w:type="lastRow">
      <w:pPr/>
      <w:rPr>
        <w:b/>
        <w:bCs/>
        <w:color w:val="1f497d"/>
      </w:rPr>
      <w:tblPr/>
      <w:tcPr>
        <w:tcBorders>
          <w:top w:val="single" w:sz="8" w:space="0" w:color="4f81bd"/>
          <w:bottom w:val="single" w:sz="8" w:space="0" w:color="4f81bd"/>
        </w:tcBorders>
      </w:tcPr>
    </w:tblStylePr>
    <w:tblStylePr w:type="band1Horz">
      <w:pPr/>
      <w:tblPr/>
      <w:tcPr>
        <w:tcBorders/>
        <w:shd w:val="clear" w:color="auto" w:fill="d3dfee"/>
      </w:tcPr>
    </w:tblStylePr>
    <w:tblStylePr w:type="firstCol">
      <w:pPr/>
      <w:rPr>
        <w:b/>
        <w:bCs/>
      </w:rPr>
      <w:tcPr>
        <w:tcBorders/>
      </w:tcPr>
    </w:tblStylePr>
    <w:tblStylePr w:type="lastCol">
      <w:pPr/>
      <w:rPr>
        <w:b/>
        <w:bCs/>
      </w:rPr>
      <w:tblPr/>
      <w:tcPr>
        <w:tcBorders>
          <w:top w:val="single" w:sz="8" w:space="0" w:color="4f81bd"/>
          <w:bottom w:val="single" w:sz="8" w:space="0" w:color="4f81bd"/>
        </w:tcBorders>
      </w:tcPr>
    </w:tblStylePr>
    <w:tblStylePr w:type="band1Vert">
      <w:pPr/>
      <w:tblPr/>
      <w:tcPr>
        <w:tcBorders/>
        <w:shd w:val="clear" w:color="auto" w:fill="d3dfee"/>
      </w:tcPr>
    </w:tblStylePr>
    <w:tcPr>
      <w:tcBorders/>
    </w:tcPr>
  </w:style>
  <w:style w:type="table" w:styleId="style195">
    <w:name w:val="Medium List 1 Accent 2"/>
    <w:basedOn w:val="style105"/>
    <w:next w:val="style195"/>
    <w:uiPriority w:val="65"/>
    <w:pPr>
      <w:spacing w:after="0" w:lineRule="auto" w:line="240"/>
    </w:pPr>
    <w:rPr>
      <w:color w:val="00000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rPr>
        <w:rFonts w:ascii="Calibri" w:cs="宋体" w:eastAsia="ＭＳ ゴシック" w:hAnsi="Calibri"/>
      </w:rPr>
      <w:tblPr/>
      <w:tcPr>
        <w:tcBorders>
          <w:top w:val="nil"/>
          <w:bottom w:val="single" w:sz="8" w:space="0" w:color="c0504d"/>
        </w:tcBorders>
      </w:tcPr>
    </w:tblStylePr>
    <w:tblStylePr w:type="lastRow">
      <w:pPr/>
      <w:rPr>
        <w:b/>
        <w:bCs/>
        <w:color w:val="1f497d"/>
      </w:rPr>
      <w:tblPr/>
      <w:tcPr>
        <w:tcBorders>
          <w:top w:val="single" w:sz="8" w:space="0" w:color="c0504d"/>
          <w:bottom w:val="single" w:sz="8" w:space="0" w:color="c0504d"/>
        </w:tcBorders>
      </w:tcPr>
    </w:tblStylePr>
    <w:tblStylePr w:type="band1Horz">
      <w:pPr/>
      <w:tblPr/>
      <w:tcPr>
        <w:tcBorders/>
        <w:shd w:val="clear" w:color="auto" w:fill="efd3d2"/>
      </w:tcPr>
    </w:tblStylePr>
    <w:tblStylePr w:type="firstCol">
      <w:pPr/>
      <w:rPr>
        <w:b/>
        <w:bCs/>
      </w:rPr>
      <w:tcPr>
        <w:tcBorders/>
      </w:tcPr>
    </w:tblStylePr>
    <w:tblStylePr w:type="lastCol">
      <w:pPr/>
      <w:rPr>
        <w:b/>
        <w:bCs/>
      </w:rPr>
      <w:tblPr/>
      <w:tcPr>
        <w:tcBorders>
          <w:top w:val="single" w:sz="8" w:space="0" w:color="c0504d"/>
          <w:bottom w:val="single" w:sz="8" w:space="0" w:color="c0504d"/>
        </w:tcBorders>
      </w:tcPr>
    </w:tblStylePr>
    <w:tblStylePr w:type="band1Vert">
      <w:pPr/>
      <w:tblPr/>
      <w:tcPr>
        <w:tcBorders/>
        <w:shd w:val="clear" w:color="auto" w:fill="efd3d2"/>
      </w:tcPr>
    </w:tblStylePr>
    <w:tcPr>
      <w:tcBorders/>
    </w:tcPr>
  </w:style>
  <w:style w:type="table" w:styleId="style209">
    <w:name w:val="Medium List 1 Accent 3"/>
    <w:basedOn w:val="style105"/>
    <w:next w:val="style209"/>
    <w:uiPriority w:val="65"/>
    <w:pPr>
      <w:spacing w:after="0" w:lineRule="auto" w:line="240"/>
    </w:pPr>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rPr>
        <w:rFonts w:ascii="Calibri" w:cs="宋体" w:eastAsia="ＭＳ ゴシック" w:hAnsi="Calibri"/>
      </w:rPr>
      <w:tblPr/>
      <w:tcPr>
        <w:tcBorders>
          <w:top w:val="nil"/>
          <w:bottom w:val="single" w:sz="8" w:space="0" w:color="9bbb59"/>
        </w:tcBorders>
      </w:tcPr>
    </w:tblStylePr>
    <w:tblStylePr w:type="lastRow">
      <w:pPr/>
      <w:rPr>
        <w:b/>
        <w:bCs/>
        <w:color w:val="1f497d"/>
      </w:rPr>
      <w:tblPr/>
      <w:tcPr>
        <w:tcBorders>
          <w:top w:val="single" w:sz="8" w:space="0" w:color="9bbb59"/>
          <w:bottom w:val="single" w:sz="8" w:space="0" w:color="9bbb59"/>
        </w:tcBorders>
      </w:tcPr>
    </w:tblStylePr>
    <w:tblStylePr w:type="band1Horz">
      <w:pPr/>
      <w:tblPr/>
      <w:tcPr>
        <w:tcBorders/>
        <w:shd w:val="clear" w:color="auto" w:fill="e6eed5"/>
      </w:tcPr>
    </w:tblStylePr>
    <w:tblStylePr w:type="firstCol">
      <w:pPr/>
      <w:rPr>
        <w:b/>
        <w:bCs/>
      </w:rPr>
      <w:tcPr>
        <w:tcBorders/>
      </w:tcPr>
    </w:tblStylePr>
    <w:tblStylePr w:type="lastCol">
      <w:pPr/>
      <w:rPr>
        <w:b/>
        <w:bCs/>
      </w:rPr>
      <w:tblPr/>
      <w:tcPr>
        <w:tcBorders>
          <w:top w:val="single" w:sz="8" w:space="0" w:color="9bbb59"/>
          <w:bottom w:val="single" w:sz="8" w:space="0" w:color="9bbb59"/>
        </w:tcBorders>
      </w:tcPr>
    </w:tblStylePr>
    <w:tblStylePr w:type="band1Vert">
      <w:pPr/>
      <w:tblPr/>
      <w:tcPr>
        <w:tcBorders/>
        <w:shd w:val="clear" w:color="auto" w:fill="e6eed5"/>
      </w:tcPr>
    </w:tblStylePr>
    <w:tcPr>
      <w:tcBorders/>
    </w:tcPr>
  </w:style>
  <w:style w:type="table" w:styleId="style223">
    <w:name w:val="Medium List 1 Accent 4"/>
    <w:basedOn w:val="style105"/>
    <w:next w:val="style223"/>
    <w:uiPriority w:val="65"/>
    <w:pPr>
      <w:spacing w:after="0" w:lineRule="auto" w:line="240"/>
    </w:pPr>
    <w:rPr>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rPr>
        <w:rFonts w:ascii="Calibri" w:cs="宋体" w:eastAsia="ＭＳ ゴシック" w:hAnsi="Calibri"/>
      </w:rPr>
      <w:tblPr/>
      <w:tcPr>
        <w:tcBorders>
          <w:top w:val="nil"/>
          <w:bottom w:val="single" w:sz="8" w:space="0" w:color="8064a2"/>
        </w:tcBorders>
      </w:tcPr>
    </w:tblStylePr>
    <w:tblStylePr w:type="lastRow">
      <w:pPr/>
      <w:rPr>
        <w:b/>
        <w:bCs/>
        <w:color w:val="1f497d"/>
      </w:rPr>
      <w:tblPr/>
      <w:tcPr>
        <w:tcBorders>
          <w:top w:val="single" w:sz="8" w:space="0" w:color="8064a2"/>
          <w:bottom w:val="single" w:sz="8" w:space="0" w:color="8064a2"/>
        </w:tcBorders>
      </w:tcPr>
    </w:tblStylePr>
    <w:tblStylePr w:type="band1Horz">
      <w:pPr/>
      <w:tblPr/>
      <w:tcPr>
        <w:tcBorders/>
        <w:shd w:val="clear" w:color="auto" w:fill="dfd8e8"/>
      </w:tcPr>
    </w:tblStylePr>
    <w:tblStylePr w:type="firstCol">
      <w:pPr/>
      <w:rPr>
        <w:b/>
        <w:bCs/>
      </w:rPr>
      <w:tcPr>
        <w:tcBorders/>
      </w:tcPr>
    </w:tblStylePr>
    <w:tblStylePr w:type="lastCol">
      <w:pPr/>
      <w:rPr>
        <w:b/>
        <w:bCs/>
      </w:rPr>
      <w:tblPr/>
      <w:tcPr>
        <w:tcBorders>
          <w:top w:val="single" w:sz="8" w:space="0" w:color="8064a2"/>
          <w:bottom w:val="single" w:sz="8" w:space="0" w:color="8064a2"/>
        </w:tcBorders>
      </w:tcPr>
    </w:tblStylePr>
    <w:tblStylePr w:type="band1Vert">
      <w:pPr/>
      <w:tblPr/>
      <w:tcPr>
        <w:tcBorders/>
        <w:shd w:val="clear" w:color="auto" w:fill="dfd8e8"/>
      </w:tcPr>
    </w:tblStylePr>
    <w:tcPr>
      <w:tcBorders/>
    </w:tcPr>
  </w:style>
  <w:style w:type="table" w:styleId="style237">
    <w:name w:val="Medium List 1 Accent 5"/>
    <w:basedOn w:val="style105"/>
    <w:next w:val="style237"/>
    <w:uiPriority w:val="65"/>
    <w:pPr>
      <w:spacing w:after="0" w:lineRule="auto" w:line="240"/>
    </w:pPr>
    <w:rPr>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rPr>
        <w:rFonts w:ascii="Calibri" w:cs="宋体" w:eastAsia="ＭＳ ゴシック" w:hAnsi="Calibri"/>
      </w:rPr>
      <w:tblPr/>
      <w:tcPr>
        <w:tcBorders>
          <w:top w:val="nil"/>
          <w:bottom w:val="single" w:sz="8" w:space="0" w:color="4bacc6"/>
        </w:tcBorders>
      </w:tcPr>
    </w:tblStylePr>
    <w:tblStylePr w:type="lastRow">
      <w:pPr/>
      <w:rPr>
        <w:b/>
        <w:bCs/>
        <w:color w:val="1f497d"/>
      </w:rPr>
      <w:tblPr/>
      <w:tcPr>
        <w:tcBorders>
          <w:top w:val="single" w:sz="8" w:space="0" w:color="4bacc6"/>
          <w:bottom w:val="single" w:sz="8" w:space="0" w:color="4bacc6"/>
        </w:tcBorders>
      </w:tcPr>
    </w:tblStylePr>
    <w:tblStylePr w:type="band1Horz">
      <w:pPr/>
      <w:tblPr/>
      <w:tcPr>
        <w:tcBorders/>
        <w:shd w:val="clear" w:color="auto" w:fill="d2eaf1"/>
      </w:tcPr>
    </w:tblStylePr>
    <w:tblStylePr w:type="firstCol">
      <w:pPr/>
      <w:rPr>
        <w:b/>
        <w:bCs/>
      </w:rPr>
      <w:tcPr>
        <w:tcBorders/>
      </w:tcPr>
    </w:tblStylePr>
    <w:tblStylePr w:type="lastCol">
      <w:pPr/>
      <w:rPr>
        <w:b/>
        <w:bCs/>
      </w:rPr>
      <w:tblPr/>
      <w:tcPr>
        <w:tcBorders>
          <w:top w:val="single" w:sz="8" w:space="0" w:color="4bacc6"/>
          <w:bottom w:val="single" w:sz="8" w:space="0" w:color="4bacc6"/>
        </w:tcBorders>
      </w:tcPr>
    </w:tblStylePr>
    <w:tblStylePr w:type="band1Vert">
      <w:pPr/>
      <w:tblPr/>
      <w:tcPr>
        <w:tcBorders/>
        <w:shd w:val="clear" w:color="auto" w:fill="d2eaf1"/>
      </w:tcPr>
    </w:tblStylePr>
    <w:tcPr>
      <w:tcBorders/>
    </w:tcPr>
  </w:style>
  <w:style w:type="table" w:styleId="style251">
    <w:name w:val="Medium List 1 Accent 6"/>
    <w:basedOn w:val="style105"/>
    <w:next w:val="style251"/>
    <w:uiPriority w:val="65"/>
    <w:pPr>
      <w:spacing w:after="0" w:lineRule="auto" w:line="240"/>
    </w:pPr>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rPr>
        <w:rFonts w:ascii="Calibri" w:cs="宋体" w:eastAsia="ＭＳ ゴシック" w:hAnsi="Calibri"/>
      </w:rPr>
      <w:tblPr/>
      <w:tcPr>
        <w:tcBorders>
          <w:top w:val="nil"/>
          <w:bottom w:val="single" w:sz="8" w:space="0" w:color="f79646"/>
        </w:tcBorders>
      </w:tcPr>
    </w:tblStylePr>
    <w:tblStylePr w:type="lastRow">
      <w:pPr/>
      <w:rPr>
        <w:b/>
        <w:bCs/>
        <w:color w:val="1f497d"/>
      </w:rPr>
      <w:tblPr/>
      <w:tcPr>
        <w:tcBorders>
          <w:top w:val="single" w:sz="8" w:space="0" w:color="f79646"/>
          <w:bottom w:val="single" w:sz="8" w:space="0" w:color="f79646"/>
        </w:tcBorders>
      </w:tcPr>
    </w:tblStylePr>
    <w:tblStylePr w:type="band1Horz">
      <w:pPr/>
      <w:tblPr/>
      <w:tcPr>
        <w:tcBorders/>
        <w:shd w:val="clear" w:color="auto" w:fill="fde4d0"/>
      </w:tcPr>
    </w:tblStylePr>
    <w:tblStylePr w:type="firstCol">
      <w:pPr/>
      <w:rPr>
        <w:b/>
        <w:bCs/>
      </w:rPr>
      <w:tcPr>
        <w:tcBorders/>
      </w:tcPr>
    </w:tblStylePr>
    <w:tblStylePr w:type="lastCol">
      <w:pPr/>
      <w:rPr>
        <w:b/>
        <w:bCs/>
      </w:rPr>
      <w:tblPr/>
      <w:tcPr>
        <w:tcBorders>
          <w:top w:val="single" w:sz="8" w:space="0" w:color="f79646"/>
          <w:bottom w:val="single" w:sz="8" w:space="0" w:color="f79646"/>
        </w:tcBorders>
      </w:tcPr>
    </w:tblStylePr>
    <w:tblStylePr w:type="band1Vert">
      <w:pPr/>
      <w:tblPr/>
      <w:tcPr>
        <w:tcBorders/>
        <w:shd w:val="clear" w:color="auto" w:fill="fde4d0"/>
      </w:tcPr>
    </w:tblStylePr>
    <w:tcPr>
      <w:tcBorders/>
    </w:tcPr>
  </w:style>
  <w:style w:type="table" w:styleId="style164">
    <w:name w:val="Medium List 2"/>
    <w:basedOn w:val="style105"/>
    <w:next w:val="style164"/>
    <w:uiPriority w:val="66"/>
    <w:pPr>
      <w:spacing w:after="0" w:lineRule="auto" w:line="240"/>
    </w:pPr>
    <w:rPr>
      <w:rFonts w:ascii="Calibri" w:cs="宋体" w:eastAsia="ＭＳ ゴシック" w:hAnsi="Calibri"/>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rPr>
        <w:sz w:val="24"/>
        <w:szCs w:val="24"/>
      </w:rPr>
      <w:tblPr/>
      <w:tcPr>
        <w:tcBorders>
          <w:top w:val="nil"/>
          <w:left w:val="nil"/>
          <w:bottom w:val="single" w:sz="24" w:space="0" w:color="000000"/>
          <w:right w:val="nil"/>
          <w:insideH w:val="nil"/>
          <w:insideV w:val="nil"/>
        </w:tcBorders>
        <w:shd w:val="clear" w:color="auto" w:fill="ffffff"/>
      </w:tcPr>
    </w:tblStylePr>
    <w:tblStylePr w:type="lastRow">
      <w:pPr/>
      <w:tblPr/>
      <w:tcPr>
        <w:tcBorders>
          <w:top w:val="single" w:sz="8" w:space="0" w:color="000000"/>
          <w:left w:val="nil"/>
          <w:bottom w:val="nil"/>
          <w:right w:val="nil"/>
          <w:insideH w:val="nil"/>
          <w:insideV w:val="nil"/>
        </w:tcBorders>
        <w:shd w:val="clear" w:color="auto" w:fill="ffffff"/>
      </w:tcPr>
    </w:tblStylePr>
    <w:tblStylePr w:type="band1Horz">
      <w:pPr/>
      <w:tblPr/>
      <w:tcPr>
        <w:tcBorders>
          <w:top w:val="nil"/>
          <w:bottom w:val="nil"/>
          <w:insideH w:val="nil"/>
          <w:insideV w:val="nil"/>
        </w:tcBorders>
        <w:shd w:val="clear" w:color="auto" w:fill="c0c0c0"/>
      </w:tcPr>
    </w:tblStylePr>
    <w:tblStylePr w:type="firstCol">
      <w:pPr/>
      <w:tblPr/>
      <w:tcPr>
        <w:tcBorders>
          <w:top w:val="nil"/>
          <w:left w:val="nil"/>
          <w:bottom w:val="nil"/>
          <w:right w:val="single" w:sz="8" w:space="0" w:color="000000"/>
          <w:insideH w:val="nil"/>
          <w:insideV w:val="nil"/>
        </w:tcBorders>
        <w:shd w:val="clear" w:color="auto" w:fill="ffffff"/>
      </w:tcPr>
    </w:tblStylePr>
    <w:tblStylePr w:type="lastCol">
      <w:pPr/>
      <w:tblPr/>
      <w:tcPr>
        <w:tcBorders>
          <w:top w:val="nil"/>
          <w:left w:val="single" w:sz="8" w:space="0" w:color="000000"/>
          <w:bottom w:val="nil"/>
          <w:right w:val="nil"/>
          <w:insideH w:val="nil"/>
          <w:insideV w:val="nil"/>
        </w:tcBorders>
        <w:shd w:val="clear" w:color="auto" w:fill="ffffff"/>
      </w:tcPr>
    </w:tblStylePr>
    <w:tblStylePr w:type="band1Vert">
      <w:pPr/>
      <w:tblPr/>
      <w:tcPr>
        <w:tcBorders>
          <w:left w:val="nil"/>
          <w:right w:val="nil"/>
          <w:insideH w:val="nil"/>
          <w:insideV w:val="nil"/>
        </w:tcBorders>
        <w:shd w:val="clear" w:color="auto" w:fill="c0c0c0"/>
      </w:tcPr>
    </w:tblStylePr>
    <w:tblStylePr w:type="nwCell">
      <w:pPr/>
      <w:tblPr/>
      <w:tcPr>
        <w:tcBorders/>
        <w:shd w:val="clear" w:color="auto" w:fill="ffffff"/>
      </w:tcPr>
    </w:tblStylePr>
    <w:tblStylePr w:type="swCell">
      <w:pPr/>
      <w:tblPr/>
      <w:tcPr>
        <w:tcBorders>
          <w:top w:val="nil"/>
        </w:tcBorders>
      </w:tcPr>
    </w:tblStylePr>
    <w:tcPr>
      <w:tcBorders/>
    </w:tcPr>
  </w:style>
  <w:style w:type="table" w:styleId="style182">
    <w:name w:val="Medium List 2 Accent 1"/>
    <w:basedOn w:val="style105"/>
    <w:next w:val="style182"/>
    <w:uiPriority w:val="66"/>
    <w:pPr>
      <w:spacing w:after="0" w:lineRule="auto" w:line="240"/>
    </w:pPr>
    <w:rPr>
      <w:rFonts w:ascii="Calibri" w:cs="宋体" w:eastAsia="ＭＳ ゴシック" w:hAnsi="Calibri"/>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rPr>
        <w:sz w:val="24"/>
        <w:szCs w:val="24"/>
      </w:rPr>
      <w:tblPr/>
      <w:tcPr>
        <w:tcBorders>
          <w:top w:val="nil"/>
          <w:left w:val="nil"/>
          <w:bottom w:val="single" w:sz="24" w:space="0" w:color="4f81bd"/>
          <w:right w:val="nil"/>
          <w:insideH w:val="nil"/>
          <w:insideV w:val="nil"/>
        </w:tcBorders>
        <w:shd w:val="clear" w:color="auto" w:fill="ffffff"/>
      </w:tcPr>
    </w:tblStylePr>
    <w:tblStylePr w:type="lastRow">
      <w:pPr/>
      <w:tblPr/>
      <w:tcPr>
        <w:tcBorders>
          <w:top w:val="single" w:sz="8" w:space="0" w:color="4f81bd"/>
          <w:left w:val="nil"/>
          <w:bottom w:val="nil"/>
          <w:right w:val="nil"/>
          <w:insideH w:val="nil"/>
          <w:insideV w:val="nil"/>
        </w:tcBorders>
        <w:shd w:val="clear" w:color="auto" w:fill="ffffff"/>
      </w:tcPr>
    </w:tblStylePr>
    <w:tblStylePr w:type="band1Horz">
      <w:pPr/>
      <w:tblPr/>
      <w:tcPr>
        <w:tcBorders>
          <w:top w:val="nil"/>
          <w:bottom w:val="nil"/>
          <w:insideH w:val="nil"/>
          <w:insideV w:val="nil"/>
        </w:tcBorders>
        <w:shd w:val="clear" w:color="auto" w:fill="d3dfee"/>
      </w:tcPr>
    </w:tblStylePr>
    <w:tblStylePr w:type="firstCol">
      <w:pPr/>
      <w:tblPr/>
      <w:tcPr>
        <w:tcBorders>
          <w:top w:val="nil"/>
          <w:left w:val="nil"/>
          <w:bottom w:val="nil"/>
          <w:right w:val="single" w:sz="8" w:space="0" w:color="4f81bd"/>
          <w:insideH w:val="nil"/>
          <w:insideV w:val="nil"/>
        </w:tcBorders>
        <w:shd w:val="clear" w:color="auto" w:fill="ffffff"/>
      </w:tcPr>
    </w:tblStylePr>
    <w:tblStylePr w:type="lastCol">
      <w:pPr/>
      <w:tblPr/>
      <w:tcPr>
        <w:tcBorders>
          <w:top w:val="nil"/>
          <w:left w:val="single" w:sz="8" w:space="0" w:color="4f81bd"/>
          <w:bottom w:val="nil"/>
          <w:right w:val="nil"/>
          <w:insideH w:val="nil"/>
          <w:insideV w:val="nil"/>
        </w:tcBorders>
        <w:shd w:val="clear" w:color="auto" w:fill="ffffff"/>
      </w:tcPr>
    </w:tblStylePr>
    <w:tblStylePr w:type="band1Vert">
      <w:pPr/>
      <w:tblPr/>
      <w:tcPr>
        <w:tcBorders>
          <w:left w:val="nil"/>
          <w:right w:val="nil"/>
          <w:insideH w:val="nil"/>
          <w:insideV w:val="nil"/>
        </w:tcBorders>
        <w:shd w:val="clear" w:color="auto" w:fill="d3dfee"/>
      </w:tcPr>
    </w:tblStylePr>
    <w:tblStylePr w:type="nwCell">
      <w:pPr/>
      <w:tblPr/>
      <w:tcPr>
        <w:tcBorders/>
        <w:shd w:val="clear" w:color="auto" w:fill="ffffff"/>
      </w:tcPr>
    </w:tblStylePr>
    <w:tblStylePr w:type="swCell">
      <w:pPr/>
      <w:tblPr/>
      <w:tcPr>
        <w:tcBorders>
          <w:top w:val="nil"/>
        </w:tcBorders>
      </w:tcPr>
    </w:tblStylePr>
    <w:tcPr>
      <w:tcBorders/>
    </w:tcPr>
  </w:style>
  <w:style w:type="table" w:styleId="style196">
    <w:name w:val="Medium List 2 Accent 2"/>
    <w:basedOn w:val="style105"/>
    <w:next w:val="style196"/>
    <w:uiPriority w:val="66"/>
    <w:pPr>
      <w:spacing w:after="0" w:lineRule="auto" w:line="240"/>
    </w:pPr>
    <w:rPr>
      <w:rFonts w:ascii="Calibri" w:cs="宋体" w:eastAsia="ＭＳ ゴシック" w:hAnsi="Calibri"/>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rPr>
        <w:sz w:val="24"/>
        <w:szCs w:val="24"/>
      </w:rPr>
      <w:tblPr/>
      <w:tcPr>
        <w:tcBorders>
          <w:top w:val="nil"/>
          <w:left w:val="nil"/>
          <w:bottom w:val="single" w:sz="24" w:space="0" w:color="c0504d"/>
          <w:right w:val="nil"/>
          <w:insideH w:val="nil"/>
          <w:insideV w:val="nil"/>
        </w:tcBorders>
        <w:shd w:val="clear" w:color="auto" w:fill="ffffff"/>
      </w:tcPr>
    </w:tblStylePr>
    <w:tblStylePr w:type="lastRow">
      <w:pPr/>
      <w:tblPr/>
      <w:tcPr>
        <w:tcBorders>
          <w:top w:val="single" w:sz="8" w:space="0" w:color="c0504d"/>
          <w:left w:val="nil"/>
          <w:bottom w:val="nil"/>
          <w:right w:val="nil"/>
          <w:insideH w:val="nil"/>
          <w:insideV w:val="nil"/>
        </w:tcBorders>
        <w:shd w:val="clear" w:color="auto" w:fill="ffffff"/>
      </w:tcPr>
    </w:tblStylePr>
    <w:tblStylePr w:type="band1Horz">
      <w:pPr/>
      <w:tblPr/>
      <w:tcPr>
        <w:tcBorders>
          <w:top w:val="nil"/>
          <w:bottom w:val="nil"/>
          <w:insideH w:val="nil"/>
          <w:insideV w:val="nil"/>
        </w:tcBorders>
        <w:shd w:val="clear" w:color="auto" w:fill="efd3d2"/>
      </w:tcPr>
    </w:tblStylePr>
    <w:tblStylePr w:type="firstCol">
      <w:pPr/>
      <w:tblPr/>
      <w:tcPr>
        <w:tcBorders>
          <w:top w:val="nil"/>
          <w:left w:val="nil"/>
          <w:bottom w:val="nil"/>
          <w:right w:val="single" w:sz="8" w:space="0" w:color="c0504d"/>
          <w:insideH w:val="nil"/>
          <w:insideV w:val="nil"/>
        </w:tcBorders>
        <w:shd w:val="clear" w:color="auto" w:fill="ffffff"/>
      </w:tcPr>
    </w:tblStylePr>
    <w:tblStylePr w:type="lastCol">
      <w:pPr/>
      <w:tblPr/>
      <w:tcPr>
        <w:tcBorders>
          <w:top w:val="nil"/>
          <w:left w:val="single" w:sz="8" w:space="0" w:color="c0504d"/>
          <w:bottom w:val="nil"/>
          <w:right w:val="nil"/>
          <w:insideH w:val="nil"/>
          <w:insideV w:val="nil"/>
        </w:tcBorders>
        <w:shd w:val="clear" w:color="auto" w:fill="ffffff"/>
      </w:tcPr>
    </w:tblStylePr>
    <w:tblStylePr w:type="band1Vert">
      <w:pPr/>
      <w:tblPr/>
      <w:tcPr>
        <w:tcBorders>
          <w:left w:val="nil"/>
          <w:right w:val="nil"/>
          <w:insideH w:val="nil"/>
          <w:insideV w:val="nil"/>
        </w:tcBorders>
        <w:shd w:val="clear" w:color="auto" w:fill="efd3d2"/>
      </w:tcPr>
    </w:tblStylePr>
    <w:tblStylePr w:type="nwCell">
      <w:pPr/>
      <w:tblPr/>
      <w:tcPr>
        <w:tcBorders/>
        <w:shd w:val="clear" w:color="auto" w:fill="ffffff"/>
      </w:tcPr>
    </w:tblStylePr>
    <w:tblStylePr w:type="swCell">
      <w:pPr/>
      <w:tblPr/>
      <w:tcPr>
        <w:tcBorders>
          <w:top w:val="nil"/>
        </w:tcBorders>
      </w:tcPr>
    </w:tblStylePr>
    <w:tcPr>
      <w:tcBorders/>
    </w:tcPr>
  </w:style>
  <w:style w:type="table" w:styleId="style210">
    <w:name w:val="Medium List 2 Accent 3"/>
    <w:basedOn w:val="style105"/>
    <w:next w:val="style210"/>
    <w:uiPriority w:val="66"/>
    <w:pPr>
      <w:spacing w:after="0" w:lineRule="auto" w:line="240"/>
    </w:pPr>
    <w:rPr>
      <w:rFonts w:ascii="Calibri" w:cs="宋体" w:eastAsia="ＭＳ ゴシック" w:hAnsi="Calibri"/>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rPr>
        <w:sz w:val="24"/>
        <w:szCs w:val="24"/>
      </w:rPr>
      <w:tblPr/>
      <w:tcPr>
        <w:tcBorders>
          <w:top w:val="nil"/>
          <w:left w:val="nil"/>
          <w:bottom w:val="single" w:sz="24" w:space="0" w:color="9bbb59"/>
          <w:right w:val="nil"/>
          <w:insideH w:val="nil"/>
          <w:insideV w:val="nil"/>
        </w:tcBorders>
        <w:shd w:val="clear" w:color="auto" w:fill="ffffff"/>
      </w:tcPr>
    </w:tblStylePr>
    <w:tblStylePr w:type="lastRow">
      <w:pPr/>
      <w:tblPr/>
      <w:tcPr>
        <w:tcBorders>
          <w:top w:val="single" w:sz="8" w:space="0" w:color="9bbb59"/>
          <w:left w:val="nil"/>
          <w:bottom w:val="nil"/>
          <w:right w:val="nil"/>
          <w:insideH w:val="nil"/>
          <w:insideV w:val="nil"/>
        </w:tcBorders>
        <w:shd w:val="clear" w:color="auto" w:fill="ffffff"/>
      </w:tcPr>
    </w:tblStylePr>
    <w:tblStylePr w:type="band1Horz">
      <w:pPr/>
      <w:tblPr/>
      <w:tcPr>
        <w:tcBorders>
          <w:top w:val="nil"/>
          <w:bottom w:val="nil"/>
          <w:insideH w:val="nil"/>
          <w:insideV w:val="nil"/>
        </w:tcBorders>
        <w:shd w:val="clear" w:color="auto" w:fill="e6eed5"/>
      </w:tcPr>
    </w:tblStylePr>
    <w:tblStylePr w:type="firstCol">
      <w:pPr/>
      <w:tblPr/>
      <w:tcPr>
        <w:tcBorders>
          <w:top w:val="nil"/>
          <w:left w:val="nil"/>
          <w:bottom w:val="nil"/>
          <w:right w:val="single" w:sz="8" w:space="0" w:color="9bbb59"/>
          <w:insideH w:val="nil"/>
          <w:insideV w:val="nil"/>
        </w:tcBorders>
        <w:shd w:val="clear" w:color="auto" w:fill="ffffff"/>
      </w:tcPr>
    </w:tblStylePr>
    <w:tblStylePr w:type="lastCol">
      <w:pPr/>
      <w:tblPr/>
      <w:tcPr>
        <w:tcBorders>
          <w:top w:val="nil"/>
          <w:left w:val="single" w:sz="8" w:space="0" w:color="9bbb59"/>
          <w:bottom w:val="nil"/>
          <w:right w:val="nil"/>
          <w:insideH w:val="nil"/>
          <w:insideV w:val="nil"/>
        </w:tcBorders>
        <w:shd w:val="clear" w:color="auto" w:fill="ffffff"/>
      </w:tcPr>
    </w:tblStylePr>
    <w:tblStylePr w:type="band1Vert">
      <w:pPr/>
      <w:tblPr/>
      <w:tcPr>
        <w:tcBorders>
          <w:left w:val="nil"/>
          <w:right w:val="nil"/>
          <w:insideH w:val="nil"/>
          <w:insideV w:val="nil"/>
        </w:tcBorders>
        <w:shd w:val="clear" w:color="auto" w:fill="e6eed5"/>
      </w:tcPr>
    </w:tblStylePr>
    <w:tblStylePr w:type="nwCell">
      <w:pPr/>
      <w:tblPr/>
      <w:tcPr>
        <w:tcBorders/>
        <w:shd w:val="clear" w:color="auto" w:fill="ffffff"/>
      </w:tcPr>
    </w:tblStylePr>
    <w:tblStylePr w:type="swCell">
      <w:pPr/>
      <w:tblPr/>
      <w:tcPr>
        <w:tcBorders>
          <w:top w:val="nil"/>
        </w:tcBorders>
      </w:tcPr>
    </w:tblStylePr>
    <w:tcPr>
      <w:tcBorders/>
    </w:tcPr>
  </w:style>
  <w:style w:type="table" w:styleId="style224">
    <w:name w:val="Medium List 2 Accent 4"/>
    <w:basedOn w:val="style105"/>
    <w:next w:val="style224"/>
    <w:uiPriority w:val="66"/>
    <w:pPr>
      <w:spacing w:after="0" w:lineRule="auto" w:line="240"/>
    </w:pPr>
    <w:rPr>
      <w:rFonts w:ascii="Calibri" w:cs="宋体" w:eastAsia="ＭＳ ゴシック" w:hAnsi="Calibri"/>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rPr>
        <w:sz w:val="24"/>
        <w:szCs w:val="24"/>
      </w:rPr>
      <w:tblPr/>
      <w:tcPr>
        <w:tcBorders>
          <w:top w:val="nil"/>
          <w:left w:val="nil"/>
          <w:bottom w:val="single" w:sz="24" w:space="0" w:color="8064a2"/>
          <w:right w:val="nil"/>
          <w:insideH w:val="nil"/>
          <w:insideV w:val="nil"/>
        </w:tcBorders>
        <w:shd w:val="clear" w:color="auto" w:fill="ffffff"/>
      </w:tcPr>
    </w:tblStylePr>
    <w:tblStylePr w:type="lastRow">
      <w:pPr/>
      <w:tblPr/>
      <w:tcPr>
        <w:tcBorders>
          <w:top w:val="single" w:sz="8" w:space="0" w:color="8064a2"/>
          <w:left w:val="nil"/>
          <w:bottom w:val="nil"/>
          <w:right w:val="nil"/>
          <w:insideH w:val="nil"/>
          <w:insideV w:val="nil"/>
        </w:tcBorders>
        <w:shd w:val="clear" w:color="auto" w:fill="ffffff"/>
      </w:tcPr>
    </w:tblStylePr>
    <w:tblStylePr w:type="band1Horz">
      <w:pPr/>
      <w:tblPr/>
      <w:tcPr>
        <w:tcBorders>
          <w:top w:val="nil"/>
          <w:bottom w:val="nil"/>
          <w:insideH w:val="nil"/>
          <w:insideV w:val="nil"/>
        </w:tcBorders>
        <w:shd w:val="clear" w:color="auto" w:fill="dfd8e8"/>
      </w:tcPr>
    </w:tblStylePr>
    <w:tblStylePr w:type="firstCol">
      <w:pPr/>
      <w:tblPr/>
      <w:tcPr>
        <w:tcBorders>
          <w:top w:val="nil"/>
          <w:left w:val="nil"/>
          <w:bottom w:val="nil"/>
          <w:right w:val="single" w:sz="8" w:space="0" w:color="8064a2"/>
          <w:insideH w:val="nil"/>
          <w:insideV w:val="nil"/>
        </w:tcBorders>
        <w:shd w:val="clear" w:color="auto" w:fill="ffffff"/>
      </w:tcPr>
    </w:tblStylePr>
    <w:tblStylePr w:type="lastCol">
      <w:pPr/>
      <w:tblPr/>
      <w:tcPr>
        <w:tcBorders>
          <w:top w:val="nil"/>
          <w:left w:val="single" w:sz="8" w:space="0" w:color="8064a2"/>
          <w:bottom w:val="nil"/>
          <w:right w:val="nil"/>
          <w:insideH w:val="nil"/>
          <w:insideV w:val="nil"/>
        </w:tcBorders>
        <w:shd w:val="clear" w:color="auto" w:fill="ffffff"/>
      </w:tcPr>
    </w:tblStylePr>
    <w:tblStylePr w:type="band1Vert">
      <w:pPr/>
      <w:tblPr/>
      <w:tcPr>
        <w:tcBorders>
          <w:left w:val="nil"/>
          <w:right w:val="nil"/>
          <w:insideH w:val="nil"/>
          <w:insideV w:val="nil"/>
        </w:tcBorders>
        <w:shd w:val="clear" w:color="auto" w:fill="dfd8e8"/>
      </w:tcPr>
    </w:tblStylePr>
    <w:tblStylePr w:type="nwCell">
      <w:pPr/>
      <w:tblPr/>
      <w:tcPr>
        <w:tcBorders/>
        <w:shd w:val="clear" w:color="auto" w:fill="ffffff"/>
      </w:tcPr>
    </w:tblStylePr>
    <w:tblStylePr w:type="swCell">
      <w:pPr/>
      <w:tblPr/>
      <w:tcPr>
        <w:tcBorders>
          <w:top w:val="nil"/>
        </w:tcBorders>
      </w:tcPr>
    </w:tblStylePr>
    <w:tcPr>
      <w:tcBorders/>
    </w:tcPr>
  </w:style>
  <w:style w:type="table" w:styleId="style238">
    <w:name w:val="Medium List 2 Accent 5"/>
    <w:basedOn w:val="style105"/>
    <w:next w:val="style238"/>
    <w:uiPriority w:val="66"/>
    <w:pPr>
      <w:spacing w:after="0" w:lineRule="auto" w:line="240"/>
    </w:pPr>
    <w:rPr>
      <w:rFonts w:ascii="Calibri" w:cs="宋体" w:eastAsia="ＭＳ ゴシック" w:hAnsi="Calibri"/>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rPr>
        <w:sz w:val="24"/>
        <w:szCs w:val="24"/>
      </w:rPr>
      <w:tblPr/>
      <w:tcPr>
        <w:tcBorders>
          <w:top w:val="nil"/>
          <w:left w:val="nil"/>
          <w:bottom w:val="single" w:sz="24" w:space="0" w:color="4bacc6"/>
          <w:right w:val="nil"/>
          <w:insideH w:val="nil"/>
          <w:insideV w:val="nil"/>
        </w:tcBorders>
        <w:shd w:val="clear" w:color="auto" w:fill="ffffff"/>
      </w:tcPr>
    </w:tblStylePr>
    <w:tblStylePr w:type="lastRow">
      <w:pPr/>
      <w:tblPr/>
      <w:tcPr>
        <w:tcBorders>
          <w:top w:val="single" w:sz="8" w:space="0" w:color="4bacc6"/>
          <w:left w:val="nil"/>
          <w:bottom w:val="nil"/>
          <w:right w:val="nil"/>
          <w:insideH w:val="nil"/>
          <w:insideV w:val="nil"/>
        </w:tcBorders>
        <w:shd w:val="clear" w:color="auto" w:fill="ffffff"/>
      </w:tcPr>
    </w:tblStylePr>
    <w:tblStylePr w:type="band1Horz">
      <w:pPr/>
      <w:tblPr/>
      <w:tcPr>
        <w:tcBorders>
          <w:top w:val="nil"/>
          <w:bottom w:val="nil"/>
          <w:insideH w:val="nil"/>
          <w:insideV w:val="nil"/>
        </w:tcBorders>
        <w:shd w:val="clear" w:color="auto" w:fill="d2eaf1"/>
      </w:tcPr>
    </w:tblStylePr>
    <w:tblStylePr w:type="firstCol">
      <w:pPr/>
      <w:tblPr/>
      <w:tcPr>
        <w:tcBorders>
          <w:top w:val="nil"/>
          <w:left w:val="nil"/>
          <w:bottom w:val="nil"/>
          <w:right w:val="single" w:sz="8" w:space="0" w:color="4bacc6"/>
          <w:insideH w:val="nil"/>
          <w:insideV w:val="nil"/>
        </w:tcBorders>
        <w:shd w:val="clear" w:color="auto" w:fill="ffffff"/>
      </w:tcPr>
    </w:tblStylePr>
    <w:tblStylePr w:type="lastCol">
      <w:pPr/>
      <w:tblPr/>
      <w:tcPr>
        <w:tcBorders>
          <w:top w:val="nil"/>
          <w:left w:val="single" w:sz="8" w:space="0" w:color="4bacc6"/>
          <w:bottom w:val="nil"/>
          <w:right w:val="nil"/>
          <w:insideH w:val="nil"/>
          <w:insideV w:val="nil"/>
        </w:tcBorders>
        <w:shd w:val="clear" w:color="auto" w:fill="ffffff"/>
      </w:tcPr>
    </w:tblStylePr>
    <w:tblStylePr w:type="band1Vert">
      <w:pPr/>
      <w:tblPr/>
      <w:tcPr>
        <w:tcBorders>
          <w:left w:val="nil"/>
          <w:right w:val="nil"/>
          <w:insideH w:val="nil"/>
          <w:insideV w:val="nil"/>
        </w:tcBorders>
        <w:shd w:val="clear" w:color="auto" w:fill="d2eaf1"/>
      </w:tcPr>
    </w:tblStylePr>
    <w:tblStylePr w:type="nwCell">
      <w:pPr/>
      <w:tblPr/>
      <w:tcPr>
        <w:tcBorders/>
        <w:shd w:val="clear" w:color="auto" w:fill="ffffff"/>
      </w:tcPr>
    </w:tblStylePr>
    <w:tblStylePr w:type="swCell">
      <w:pPr/>
      <w:tblPr/>
      <w:tcPr>
        <w:tcBorders>
          <w:top w:val="nil"/>
        </w:tcBorders>
      </w:tcPr>
    </w:tblStylePr>
    <w:tcPr>
      <w:tcBorders/>
    </w:tcPr>
  </w:style>
  <w:style w:type="table" w:styleId="style252">
    <w:name w:val="Medium List 2 Accent 6"/>
    <w:basedOn w:val="style105"/>
    <w:next w:val="style252"/>
    <w:uiPriority w:val="66"/>
    <w:pPr>
      <w:spacing w:after="0" w:lineRule="auto" w:line="240"/>
    </w:pPr>
    <w:rPr>
      <w:rFonts w:ascii="Calibri" w:cs="宋体" w:eastAsia="ＭＳ ゴシック" w:hAnsi="Calibri"/>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rPr>
        <w:sz w:val="24"/>
        <w:szCs w:val="24"/>
      </w:rPr>
      <w:tblPr/>
      <w:tcPr>
        <w:tcBorders>
          <w:top w:val="nil"/>
          <w:left w:val="nil"/>
          <w:bottom w:val="single" w:sz="24" w:space="0" w:color="f79646"/>
          <w:right w:val="nil"/>
          <w:insideH w:val="nil"/>
          <w:insideV w:val="nil"/>
        </w:tcBorders>
        <w:shd w:val="clear" w:color="auto" w:fill="ffffff"/>
      </w:tcPr>
    </w:tblStylePr>
    <w:tblStylePr w:type="lastRow">
      <w:pPr/>
      <w:tblPr/>
      <w:tcPr>
        <w:tcBorders>
          <w:top w:val="single" w:sz="8" w:space="0" w:color="f79646"/>
          <w:left w:val="nil"/>
          <w:bottom w:val="nil"/>
          <w:right w:val="nil"/>
          <w:insideH w:val="nil"/>
          <w:insideV w:val="nil"/>
        </w:tcBorders>
        <w:shd w:val="clear" w:color="auto" w:fill="ffffff"/>
      </w:tcPr>
    </w:tblStylePr>
    <w:tblStylePr w:type="band1Horz">
      <w:pPr/>
      <w:tblPr/>
      <w:tcPr>
        <w:tcBorders>
          <w:top w:val="nil"/>
          <w:bottom w:val="nil"/>
          <w:insideH w:val="nil"/>
          <w:insideV w:val="nil"/>
        </w:tcBorders>
        <w:shd w:val="clear" w:color="auto" w:fill="fde4d0"/>
      </w:tcPr>
    </w:tblStylePr>
    <w:tblStylePr w:type="firstCol">
      <w:pPr/>
      <w:tblPr/>
      <w:tcPr>
        <w:tcBorders>
          <w:top w:val="nil"/>
          <w:left w:val="nil"/>
          <w:bottom w:val="nil"/>
          <w:right w:val="single" w:sz="8" w:space="0" w:color="f79646"/>
          <w:insideH w:val="nil"/>
          <w:insideV w:val="nil"/>
        </w:tcBorders>
        <w:shd w:val="clear" w:color="auto" w:fill="ffffff"/>
      </w:tcPr>
    </w:tblStylePr>
    <w:tblStylePr w:type="lastCol">
      <w:pPr/>
      <w:tblPr/>
      <w:tcPr>
        <w:tcBorders>
          <w:top w:val="nil"/>
          <w:left w:val="single" w:sz="8" w:space="0" w:color="f79646"/>
          <w:bottom w:val="nil"/>
          <w:right w:val="nil"/>
          <w:insideH w:val="nil"/>
          <w:insideV w:val="nil"/>
        </w:tcBorders>
        <w:shd w:val="clear" w:color="auto" w:fill="ffffff"/>
      </w:tcPr>
    </w:tblStylePr>
    <w:tblStylePr w:type="band1Vert">
      <w:pPr/>
      <w:tblPr/>
      <w:tcPr>
        <w:tcBorders>
          <w:left w:val="nil"/>
          <w:right w:val="nil"/>
          <w:insideH w:val="nil"/>
          <w:insideV w:val="nil"/>
        </w:tcBorders>
        <w:shd w:val="clear" w:color="auto" w:fill="fde4d0"/>
      </w:tcPr>
    </w:tblStylePr>
    <w:tblStylePr w:type="nwCell">
      <w:pPr/>
      <w:tblPr/>
      <w:tcPr>
        <w:tcBorders/>
        <w:shd w:val="clear" w:color="auto" w:fill="ffffff"/>
      </w:tcPr>
    </w:tblStylePr>
    <w:tblStylePr w:type="swCell">
      <w:pPr/>
      <w:tblPr/>
      <w:tcPr>
        <w:tcBorders>
          <w:top w:val="nil"/>
        </w:tcBorders>
      </w:tcPr>
    </w:tblStylePr>
    <w:tcPr>
      <w:tcBorders/>
    </w:tcPr>
  </w:style>
  <w:style w:type="table" w:styleId="style165">
    <w:name w:val="Medium Grid 1"/>
    <w:basedOn w:val="style105"/>
    <w:next w:val="style165"/>
    <w:uiPriority w:val="67"/>
    <w:pPr>
      <w:spacing w:after="0" w:lineRule="auto" w:line="240"/>
    </w:pPr>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shd w:val="clear" w:color="auto" w:fill="c0c0c0"/>
      <w:tblCellMar>
        <w:top w:w="0" w:type="dxa"/>
        <w:left w:w="108" w:type="dxa"/>
        <w:bottom w:w="0" w:type="dxa"/>
        <w:right w:w="108" w:type="dxa"/>
      </w:tblCellMar>
    </w:tblPr>
    <w:tblStylePr w:type="firstRow">
      <w:pPr/>
      <w:rPr>
        <w:b/>
        <w:bCs/>
      </w:rPr>
      <w:tcPr>
        <w:tcBorders/>
      </w:tcPr>
    </w:tblStylePr>
    <w:tblStylePr w:type="lastRow">
      <w:pPr/>
      <w:rPr>
        <w:b/>
        <w:bCs/>
      </w:rPr>
      <w:tblPr/>
      <w:tcPr>
        <w:tcBorders>
          <w:top w:val="single" w:sz="18" w:space="0" w:color="404040"/>
        </w:tcBorders>
      </w:tcPr>
    </w:tblStylePr>
    <w:tblStylePr w:type="band1Horz">
      <w:pPr/>
      <w:tblPr/>
      <w:tcPr>
        <w:tcBorders/>
        <w:shd w:val="clear" w:color="auto" w:fill="808080"/>
      </w:tcPr>
    </w:tblStylePr>
    <w:tblStylePr w:type="firstCol">
      <w:pPr/>
      <w:rPr>
        <w:b/>
        <w:bCs/>
      </w:rPr>
      <w:tcPr>
        <w:tcBorders/>
      </w:tcPr>
    </w:tblStylePr>
    <w:tblStylePr w:type="lastCol">
      <w:pPr/>
      <w:rPr>
        <w:b/>
        <w:bCs/>
      </w:rPr>
      <w:tcPr>
        <w:tcBorders/>
      </w:tcPr>
    </w:tblStylePr>
    <w:tblStylePr w:type="band1Vert">
      <w:pPr/>
      <w:tblPr/>
      <w:tcPr>
        <w:tcBorders/>
        <w:shd w:val="clear" w:color="auto" w:fill="808080"/>
      </w:tcPr>
    </w:tblStylePr>
    <w:tcPr>
      <w:tcBorders/>
      <w:shd w:val="clear" w:color="auto" w:fill="c0c0c0"/>
    </w:tcPr>
  </w:style>
  <w:style w:type="table" w:styleId="style183">
    <w:name w:val="Medium Grid 1 Accent 1"/>
    <w:basedOn w:val="style105"/>
    <w:next w:val="style183"/>
    <w:uiPriority w:val="67"/>
    <w:pPr>
      <w:spacing w:after="0" w:lineRule="auto" w:line="240"/>
    </w:pPr>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shd w:val="clear" w:color="auto" w:fill="d3dfee"/>
      <w:tblCellMar>
        <w:top w:w="0" w:type="dxa"/>
        <w:left w:w="108" w:type="dxa"/>
        <w:bottom w:w="0" w:type="dxa"/>
        <w:right w:w="108" w:type="dxa"/>
      </w:tblCellMar>
    </w:tblPr>
    <w:tblStylePr w:type="firstRow">
      <w:pPr/>
      <w:rPr>
        <w:b/>
        <w:bCs/>
      </w:rPr>
      <w:tcPr>
        <w:tcBorders/>
      </w:tcPr>
    </w:tblStylePr>
    <w:tblStylePr w:type="lastRow">
      <w:pPr/>
      <w:rPr>
        <w:b/>
        <w:bCs/>
      </w:rPr>
      <w:tblPr/>
      <w:tcPr>
        <w:tcBorders>
          <w:top w:val="single" w:sz="18" w:space="0" w:color="7ba0cd"/>
        </w:tcBorders>
      </w:tcPr>
    </w:tblStylePr>
    <w:tblStylePr w:type="band1Horz">
      <w:pPr/>
      <w:tblPr/>
      <w:tcPr>
        <w:tcBorders/>
        <w:shd w:val="clear" w:color="auto" w:fill="a7bfde"/>
      </w:tcPr>
    </w:tblStylePr>
    <w:tblStylePr w:type="firstCol">
      <w:pPr/>
      <w:rPr>
        <w:b/>
        <w:bCs/>
      </w:rPr>
      <w:tcPr>
        <w:tcBorders/>
      </w:tcPr>
    </w:tblStylePr>
    <w:tblStylePr w:type="lastCol">
      <w:pPr/>
      <w:rPr>
        <w:b/>
        <w:bCs/>
      </w:rPr>
      <w:tcPr>
        <w:tcBorders/>
      </w:tcPr>
    </w:tblStylePr>
    <w:tblStylePr w:type="band1Vert">
      <w:pPr/>
      <w:tblPr/>
      <w:tcPr>
        <w:tcBorders/>
        <w:shd w:val="clear" w:color="auto" w:fill="a7bfde"/>
      </w:tcPr>
    </w:tblStylePr>
    <w:tcPr>
      <w:tcBorders/>
      <w:shd w:val="clear" w:color="auto" w:fill="d3dfee"/>
    </w:tcPr>
  </w:style>
  <w:style w:type="table" w:styleId="style197">
    <w:name w:val="Medium Grid 1 Accent 2"/>
    <w:basedOn w:val="style105"/>
    <w:next w:val="style197"/>
    <w:uiPriority w:val="67"/>
    <w:pPr>
      <w:spacing w:after="0" w:lineRule="auto" w:line="240"/>
    </w:pPr>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shd w:val="clear" w:color="auto" w:fill="efd3d2"/>
      <w:tblCellMar>
        <w:top w:w="0" w:type="dxa"/>
        <w:left w:w="108" w:type="dxa"/>
        <w:bottom w:w="0" w:type="dxa"/>
        <w:right w:w="108" w:type="dxa"/>
      </w:tblCellMar>
    </w:tblPr>
    <w:tblStylePr w:type="firstRow">
      <w:pPr/>
      <w:rPr>
        <w:b/>
        <w:bCs/>
      </w:rPr>
      <w:tcPr>
        <w:tcBorders/>
      </w:tcPr>
    </w:tblStylePr>
    <w:tblStylePr w:type="lastRow">
      <w:pPr/>
      <w:rPr>
        <w:b/>
        <w:bCs/>
      </w:rPr>
      <w:tblPr/>
      <w:tcPr>
        <w:tcBorders>
          <w:top w:val="single" w:sz="18" w:space="0" w:color="cf7b79"/>
        </w:tcBorders>
      </w:tcPr>
    </w:tblStylePr>
    <w:tblStylePr w:type="band1Horz">
      <w:pPr/>
      <w:tblPr/>
      <w:tcPr>
        <w:tcBorders/>
        <w:shd w:val="clear" w:color="auto" w:fill="dfa7a6"/>
      </w:tcPr>
    </w:tblStylePr>
    <w:tblStylePr w:type="firstCol">
      <w:pPr/>
      <w:rPr>
        <w:b/>
        <w:bCs/>
      </w:rPr>
      <w:tcPr>
        <w:tcBorders/>
      </w:tcPr>
    </w:tblStylePr>
    <w:tblStylePr w:type="lastCol">
      <w:pPr/>
      <w:rPr>
        <w:b/>
        <w:bCs/>
      </w:rPr>
      <w:tcPr>
        <w:tcBorders/>
      </w:tcPr>
    </w:tblStylePr>
    <w:tblStylePr w:type="band1Vert">
      <w:pPr/>
      <w:tblPr/>
      <w:tcPr>
        <w:tcBorders/>
        <w:shd w:val="clear" w:color="auto" w:fill="dfa7a6"/>
      </w:tcPr>
    </w:tblStylePr>
    <w:tcPr>
      <w:tcBorders/>
      <w:shd w:val="clear" w:color="auto" w:fill="efd3d2"/>
    </w:tcPr>
  </w:style>
  <w:style w:type="table" w:styleId="style211">
    <w:name w:val="Medium Grid 1 Accent 3"/>
    <w:basedOn w:val="style105"/>
    <w:next w:val="style211"/>
    <w:uiPriority w:val="67"/>
    <w:pPr>
      <w:spacing w:after="0" w:lineRule="auto" w:line="240"/>
    </w:pPr>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shd w:val="clear" w:color="auto" w:fill="e6eed5"/>
      <w:tblCellMar>
        <w:top w:w="0" w:type="dxa"/>
        <w:left w:w="108" w:type="dxa"/>
        <w:bottom w:w="0" w:type="dxa"/>
        <w:right w:w="108" w:type="dxa"/>
      </w:tblCellMar>
    </w:tblPr>
    <w:tblStylePr w:type="firstRow">
      <w:pPr/>
      <w:rPr>
        <w:b/>
        <w:bCs/>
      </w:rPr>
      <w:tcPr>
        <w:tcBorders/>
      </w:tcPr>
    </w:tblStylePr>
    <w:tblStylePr w:type="lastRow">
      <w:pPr/>
      <w:rPr>
        <w:b/>
        <w:bCs/>
      </w:rPr>
      <w:tblPr/>
      <w:tcPr>
        <w:tcBorders>
          <w:top w:val="single" w:sz="18" w:space="0" w:color="b3cc82"/>
        </w:tcBorders>
      </w:tcPr>
    </w:tblStylePr>
    <w:tblStylePr w:type="band1Horz">
      <w:pPr/>
      <w:tblPr/>
      <w:tcPr>
        <w:tcBorders/>
        <w:shd w:val="clear" w:color="auto" w:fill="cdddac"/>
      </w:tcPr>
    </w:tblStylePr>
    <w:tblStylePr w:type="firstCol">
      <w:pPr/>
      <w:rPr>
        <w:b/>
        <w:bCs/>
      </w:rPr>
      <w:tcPr>
        <w:tcBorders/>
      </w:tcPr>
    </w:tblStylePr>
    <w:tblStylePr w:type="lastCol">
      <w:pPr/>
      <w:rPr>
        <w:b/>
        <w:bCs/>
      </w:rPr>
      <w:tcPr>
        <w:tcBorders/>
      </w:tcPr>
    </w:tblStylePr>
    <w:tblStylePr w:type="band1Vert">
      <w:pPr/>
      <w:tblPr/>
      <w:tcPr>
        <w:tcBorders/>
        <w:shd w:val="clear" w:color="auto" w:fill="cdddac"/>
      </w:tcPr>
    </w:tblStylePr>
    <w:tcPr>
      <w:tcBorders/>
      <w:shd w:val="clear" w:color="auto" w:fill="e6eed5"/>
    </w:tcPr>
  </w:style>
  <w:style w:type="table" w:styleId="style225">
    <w:name w:val="Medium Grid 1 Accent 4"/>
    <w:basedOn w:val="style105"/>
    <w:next w:val="style225"/>
    <w:uiPriority w:val="67"/>
    <w:pPr>
      <w:spacing w:after="0" w:lineRule="auto" w:line="240"/>
    </w:pPr>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shd w:val="clear" w:color="auto" w:fill="dfd8e8"/>
      <w:tblCellMar>
        <w:top w:w="0" w:type="dxa"/>
        <w:left w:w="108" w:type="dxa"/>
        <w:bottom w:w="0" w:type="dxa"/>
        <w:right w:w="108" w:type="dxa"/>
      </w:tblCellMar>
    </w:tblPr>
    <w:tblStylePr w:type="firstRow">
      <w:pPr/>
      <w:rPr>
        <w:b/>
        <w:bCs/>
      </w:rPr>
      <w:tcPr>
        <w:tcBorders/>
      </w:tcPr>
    </w:tblStylePr>
    <w:tblStylePr w:type="lastRow">
      <w:pPr/>
      <w:rPr>
        <w:b/>
        <w:bCs/>
      </w:rPr>
      <w:tblPr/>
      <w:tcPr>
        <w:tcBorders>
          <w:top w:val="single" w:sz="18" w:space="0" w:color="9f8ab9"/>
        </w:tcBorders>
      </w:tcPr>
    </w:tblStylePr>
    <w:tblStylePr w:type="band1Horz">
      <w:pPr/>
      <w:tblPr/>
      <w:tcPr>
        <w:tcBorders/>
        <w:shd w:val="clear" w:color="auto" w:fill="bfb1d0"/>
      </w:tcPr>
    </w:tblStylePr>
    <w:tblStylePr w:type="firstCol">
      <w:pPr/>
      <w:rPr>
        <w:b/>
        <w:bCs/>
      </w:rPr>
      <w:tcPr>
        <w:tcBorders/>
      </w:tcPr>
    </w:tblStylePr>
    <w:tblStylePr w:type="lastCol">
      <w:pPr/>
      <w:rPr>
        <w:b/>
        <w:bCs/>
      </w:rPr>
      <w:tcPr>
        <w:tcBorders/>
      </w:tcPr>
    </w:tblStylePr>
    <w:tblStylePr w:type="band1Vert">
      <w:pPr/>
      <w:tblPr/>
      <w:tcPr>
        <w:tcBorders/>
        <w:shd w:val="clear" w:color="auto" w:fill="bfb1d0"/>
      </w:tcPr>
    </w:tblStylePr>
    <w:tcPr>
      <w:tcBorders/>
      <w:shd w:val="clear" w:color="auto" w:fill="dfd8e8"/>
    </w:tcPr>
  </w:style>
  <w:style w:type="table" w:styleId="style239">
    <w:name w:val="Medium Grid 1 Accent 5"/>
    <w:basedOn w:val="style105"/>
    <w:next w:val="style239"/>
    <w:uiPriority w:val="67"/>
    <w:pPr>
      <w:spacing w:after="0" w:lineRule="auto" w:line="240"/>
    </w:pPr>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shd w:val="clear" w:color="auto" w:fill="d2eaf1"/>
      <w:tblCellMar>
        <w:top w:w="0" w:type="dxa"/>
        <w:left w:w="108" w:type="dxa"/>
        <w:bottom w:w="0" w:type="dxa"/>
        <w:right w:w="108" w:type="dxa"/>
      </w:tblCellMar>
    </w:tblPr>
    <w:tblStylePr w:type="firstRow">
      <w:pPr/>
      <w:rPr>
        <w:b/>
        <w:bCs/>
      </w:rPr>
      <w:tcPr>
        <w:tcBorders/>
      </w:tcPr>
    </w:tblStylePr>
    <w:tblStylePr w:type="lastRow">
      <w:pPr/>
      <w:rPr>
        <w:b/>
        <w:bCs/>
      </w:rPr>
      <w:tblPr/>
      <w:tcPr>
        <w:tcBorders>
          <w:top w:val="single" w:sz="18" w:space="0" w:color="78c0d4"/>
        </w:tcBorders>
      </w:tcPr>
    </w:tblStylePr>
    <w:tblStylePr w:type="band1Horz">
      <w:pPr/>
      <w:tblPr/>
      <w:tcPr>
        <w:tcBorders/>
        <w:shd w:val="clear" w:color="auto" w:fill="a5d5e2"/>
      </w:tcPr>
    </w:tblStylePr>
    <w:tblStylePr w:type="firstCol">
      <w:pPr/>
      <w:rPr>
        <w:b/>
        <w:bCs/>
      </w:rPr>
      <w:tcPr>
        <w:tcBorders/>
      </w:tcPr>
    </w:tblStylePr>
    <w:tblStylePr w:type="lastCol">
      <w:pPr/>
      <w:rPr>
        <w:b/>
        <w:bCs/>
      </w:rPr>
      <w:tcPr>
        <w:tcBorders/>
      </w:tcPr>
    </w:tblStylePr>
    <w:tblStylePr w:type="band1Vert">
      <w:pPr/>
      <w:tblPr/>
      <w:tcPr>
        <w:tcBorders/>
        <w:shd w:val="clear" w:color="auto" w:fill="a5d5e2"/>
      </w:tcPr>
    </w:tblStylePr>
    <w:tcPr>
      <w:tcBorders/>
      <w:shd w:val="clear" w:color="auto" w:fill="d2eaf1"/>
    </w:tcPr>
  </w:style>
  <w:style w:type="table" w:styleId="style253">
    <w:name w:val="Medium Grid 1 Accent 6"/>
    <w:basedOn w:val="style105"/>
    <w:next w:val="style253"/>
    <w:uiPriority w:val="67"/>
    <w:pPr>
      <w:spacing w:after="0" w:lineRule="auto" w:line="240"/>
    </w:pPr>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shd w:val="clear" w:color="auto" w:fill="fde4d0"/>
      <w:tblCellMar>
        <w:top w:w="0" w:type="dxa"/>
        <w:left w:w="108" w:type="dxa"/>
        <w:bottom w:w="0" w:type="dxa"/>
        <w:right w:w="108" w:type="dxa"/>
      </w:tblCellMar>
    </w:tblPr>
    <w:tblStylePr w:type="firstRow">
      <w:pPr/>
      <w:rPr>
        <w:b/>
        <w:bCs/>
      </w:rPr>
      <w:tcPr>
        <w:tcBorders/>
      </w:tcPr>
    </w:tblStylePr>
    <w:tblStylePr w:type="lastRow">
      <w:pPr/>
      <w:rPr>
        <w:b/>
        <w:bCs/>
      </w:rPr>
      <w:tblPr/>
      <w:tcPr>
        <w:tcBorders>
          <w:top w:val="single" w:sz="18" w:space="0" w:color="f9b074"/>
        </w:tcBorders>
      </w:tcPr>
    </w:tblStylePr>
    <w:tblStylePr w:type="band1Horz">
      <w:pPr/>
      <w:tblPr/>
      <w:tcPr>
        <w:tcBorders/>
        <w:shd w:val="clear" w:color="auto" w:fill="fbcaa2"/>
      </w:tcPr>
    </w:tblStylePr>
    <w:tblStylePr w:type="firstCol">
      <w:pPr/>
      <w:rPr>
        <w:b/>
        <w:bCs/>
      </w:rPr>
      <w:tcPr>
        <w:tcBorders/>
      </w:tcPr>
    </w:tblStylePr>
    <w:tblStylePr w:type="lastCol">
      <w:pPr/>
      <w:rPr>
        <w:b/>
        <w:bCs/>
      </w:rPr>
      <w:tcPr>
        <w:tcBorders/>
      </w:tcPr>
    </w:tblStylePr>
    <w:tblStylePr w:type="band1Vert">
      <w:pPr/>
      <w:tblPr/>
      <w:tcPr>
        <w:tcBorders/>
        <w:shd w:val="clear" w:color="auto" w:fill="fbcaa2"/>
      </w:tcPr>
    </w:tblStylePr>
    <w:tcPr>
      <w:tcBorders/>
      <w:shd w:val="clear" w:color="auto" w:fill="fde4d0"/>
    </w:tcPr>
  </w:style>
  <w:style w:type="table" w:styleId="style166">
    <w:name w:val="Medium Grid 2"/>
    <w:basedOn w:val="style105"/>
    <w:next w:val="style166"/>
    <w:uiPriority w:val="68"/>
    <w:pPr>
      <w:spacing w:after="0" w:lineRule="auto" w:line="240"/>
    </w:pPr>
    <w:rPr>
      <w:rFonts w:ascii="Calibri" w:cs="宋体" w:eastAsia="ＭＳ ゴシック" w:hAnsi="Calibri"/>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0c0c0"/>
      <w:tblCellMar>
        <w:top w:w="0" w:type="dxa"/>
        <w:left w:w="108" w:type="dxa"/>
        <w:bottom w:w="0" w:type="dxa"/>
        <w:right w:w="108" w:type="dxa"/>
      </w:tblCellMar>
    </w:tblPr>
    <w:tblStylePr w:type="firstRow">
      <w:pPr/>
      <w:rPr>
        <w:b/>
        <w:bCs/>
        <w:color w:val="000000"/>
      </w:rPr>
      <w:tblPr/>
      <w:tcPr>
        <w:tcBorders/>
        <w:shd w:val="clear" w:color="auto" w:fill="e6e6e6"/>
      </w:tcPr>
    </w:tblStylePr>
    <w:tblStylePr w:type="lastRow">
      <w:pPr/>
      <w:rPr>
        <w:b/>
        <w:bCs/>
        <w:color w:val="000000"/>
      </w:rPr>
      <w:tblPr/>
      <w:tcPr>
        <w:tcBorders>
          <w:top w:val="single" w:sz="12" w:space="0" w:color="000000"/>
          <w:left w:val="nil"/>
          <w:bottom w:val="nil"/>
          <w:right w:val="nil"/>
          <w:insideH w:val="nil"/>
          <w:insideV w:val="nil"/>
        </w:tcBorders>
        <w:shd w:val="clear" w:color="auto" w:fill="ffffff"/>
      </w:tcPr>
    </w:tblStylePr>
    <w:tblStylePr w:type="band1Horz">
      <w:pPr/>
      <w:tblPr/>
      <w:tcPr>
        <w:tcBorders>
          <w:insideH w:val="single" w:sz="6" w:space="0" w:color="000000"/>
          <w:insideV w:val="single" w:sz="6" w:space="0" w:color="000000"/>
        </w:tcBorders>
        <w:shd w:val="clear" w:color="auto" w:fill="808080"/>
      </w:tcPr>
    </w:tblStylePr>
    <w:tblStylePr w:type="firstCol">
      <w:pPr/>
      <w:rPr>
        <w:b/>
        <w:bCs/>
        <w:color w:val="000000"/>
      </w:rPr>
      <w:tblPr/>
      <w:tcPr>
        <w:tcBorders>
          <w:top w:val="nil"/>
          <w:left w:val="nil"/>
          <w:bottom w:val="nil"/>
          <w:right w:val="nil"/>
          <w:insideH w:val="nil"/>
          <w:insideV w:val="nil"/>
        </w:tcBorders>
        <w:shd w:val="clear" w:color="auto" w:fill="ffffff"/>
      </w:tcPr>
    </w:tblStylePr>
    <w:tblStylePr w:type="lastCol">
      <w:pPr/>
      <w:rPr>
        <w:b w:val="false"/>
        <w:bCs w:val="false"/>
        <w:color w:val="000000"/>
      </w:rPr>
      <w:tblPr/>
      <w:tcPr>
        <w:tcBorders>
          <w:top w:val="nil"/>
          <w:left w:val="nil"/>
          <w:bottom w:val="nil"/>
          <w:right w:val="nil"/>
          <w:insideH w:val="nil"/>
          <w:insideV w:val="nil"/>
        </w:tcBorders>
        <w:shd w:val="clear" w:color="auto" w:fill="cccccc"/>
      </w:tcPr>
    </w:tblStylePr>
    <w:tblStylePr w:type="band1Vert">
      <w:pPr/>
      <w:tblPr/>
      <w:tcPr>
        <w:tcBorders/>
        <w:shd w:val="clear" w:color="auto" w:fill="808080"/>
      </w:tcPr>
    </w:tblStylePr>
    <w:tblStylePr w:type="nwCell">
      <w:pPr/>
      <w:tblPr/>
      <w:tcPr>
        <w:tcBorders/>
        <w:shd w:val="clear" w:color="auto" w:fill="ffffff"/>
      </w:tcPr>
    </w:tblStylePr>
    <w:tcPr>
      <w:tcBorders/>
      <w:shd w:val="clear" w:color="auto" w:fill="c0c0c0"/>
    </w:tcPr>
  </w:style>
  <w:style w:type="table" w:styleId="style184">
    <w:name w:val="Medium Grid 2 Accent 1"/>
    <w:basedOn w:val="style105"/>
    <w:next w:val="style184"/>
    <w:uiPriority w:val="68"/>
    <w:pPr>
      <w:spacing w:after="0" w:lineRule="auto" w:line="240"/>
    </w:pPr>
    <w:rPr>
      <w:rFonts w:ascii="Calibri" w:cs="宋体" w:eastAsia="ＭＳ ゴシック" w:hAnsi="Calibri"/>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shd w:val="clear" w:color="auto" w:fill="d3dfee"/>
      <w:tblCellMar>
        <w:top w:w="0" w:type="dxa"/>
        <w:left w:w="108" w:type="dxa"/>
        <w:bottom w:w="0" w:type="dxa"/>
        <w:right w:w="108" w:type="dxa"/>
      </w:tblCellMar>
    </w:tblPr>
    <w:tblStylePr w:type="firstRow">
      <w:pPr/>
      <w:rPr>
        <w:b/>
        <w:bCs/>
        <w:color w:val="000000"/>
      </w:rPr>
      <w:tblPr/>
      <w:tcPr>
        <w:tcBorders/>
        <w:shd w:val="clear" w:color="auto" w:fill="edf2f8"/>
      </w:tcPr>
    </w:tblStylePr>
    <w:tblStylePr w:type="lastRow">
      <w:pPr/>
      <w:rPr>
        <w:b/>
        <w:bCs/>
        <w:color w:val="000000"/>
      </w:rPr>
      <w:tblPr/>
      <w:tcPr>
        <w:tcBorders>
          <w:top w:val="single" w:sz="12" w:space="0" w:color="000000"/>
          <w:left w:val="nil"/>
          <w:bottom w:val="nil"/>
          <w:right w:val="nil"/>
          <w:insideH w:val="nil"/>
          <w:insideV w:val="nil"/>
        </w:tcBorders>
        <w:shd w:val="clear" w:color="auto" w:fill="ffffff"/>
      </w:tcPr>
    </w:tblStylePr>
    <w:tblStylePr w:type="band1Horz">
      <w:pPr/>
      <w:tblPr/>
      <w:tcPr>
        <w:tcBorders>
          <w:insideH w:val="single" w:sz="6" w:space="0" w:color="4f81bd"/>
          <w:insideV w:val="single" w:sz="6" w:space="0" w:color="4f81bd"/>
        </w:tcBorders>
        <w:shd w:val="clear" w:color="auto" w:fill="a7bfde"/>
      </w:tcPr>
    </w:tblStylePr>
    <w:tblStylePr w:type="firstCol">
      <w:pPr/>
      <w:rPr>
        <w:b/>
        <w:bCs/>
        <w:color w:val="000000"/>
      </w:rPr>
      <w:tblPr/>
      <w:tcPr>
        <w:tcBorders>
          <w:top w:val="nil"/>
          <w:left w:val="nil"/>
          <w:bottom w:val="nil"/>
          <w:right w:val="nil"/>
          <w:insideH w:val="nil"/>
          <w:insideV w:val="nil"/>
        </w:tcBorders>
        <w:shd w:val="clear" w:color="auto" w:fill="ffffff"/>
      </w:tcPr>
    </w:tblStylePr>
    <w:tblStylePr w:type="lastCol">
      <w:pPr/>
      <w:rPr>
        <w:b w:val="false"/>
        <w:bCs w:val="false"/>
        <w:color w:val="000000"/>
      </w:rPr>
      <w:tblPr/>
      <w:tcPr>
        <w:tcBorders>
          <w:top w:val="nil"/>
          <w:left w:val="nil"/>
          <w:bottom w:val="nil"/>
          <w:right w:val="nil"/>
          <w:insideH w:val="nil"/>
          <w:insideV w:val="nil"/>
        </w:tcBorders>
        <w:shd w:val="clear" w:color="auto" w:fill="dbe5f1"/>
      </w:tcPr>
    </w:tblStylePr>
    <w:tblStylePr w:type="band1Vert">
      <w:pPr/>
      <w:tblPr/>
      <w:tcPr>
        <w:tcBorders/>
        <w:shd w:val="clear" w:color="auto" w:fill="a7bfde"/>
      </w:tcPr>
    </w:tblStylePr>
    <w:tblStylePr w:type="nwCell">
      <w:pPr/>
      <w:tblPr/>
      <w:tcPr>
        <w:tcBorders/>
        <w:shd w:val="clear" w:color="auto" w:fill="ffffff"/>
      </w:tcPr>
    </w:tblStylePr>
    <w:tcPr>
      <w:tcBorders/>
      <w:shd w:val="clear" w:color="auto" w:fill="d3dfee"/>
    </w:tcPr>
  </w:style>
  <w:style w:type="table" w:styleId="style198">
    <w:name w:val="Medium Grid 2 Accent 2"/>
    <w:basedOn w:val="style105"/>
    <w:next w:val="style198"/>
    <w:uiPriority w:val="68"/>
    <w:pPr>
      <w:spacing w:after="0" w:lineRule="auto" w:line="240"/>
    </w:pPr>
    <w:rPr>
      <w:rFonts w:ascii="Calibri" w:cs="宋体" w:eastAsia="ＭＳ ゴシック" w:hAnsi="Calibri"/>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shd w:val="clear" w:color="auto" w:fill="efd3d2"/>
      <w:tblCellMar>
        <w:top w:w="0" w:type="dxa"/>
        <w:left w:w="108" w:type="dxa"/>
        <w:bottom w:w="0" w:type="dxa"/>
        <w:right w:w="108" w:type="dxa"/>
      </w:tblCellMar>
    </w:tblPr>
    <w:tblStylePr w:type="firstRow">
      <w:pPr/>
      <w:rPr>
        <w:b/>
        <w:bCs/>
        <w:color w:val="000000"/>
      </w:rPr>
      <w:tblPr/>
      <w:tcPr>
        <w:tcBorders/>
        <w:shd w:val="clear" w:color="auto" w:fill="f8eded"/>
      </w:tcPr>
    </w:tblStylePr>
    <w:tblStylePr w:type="lastRow">
      <w:pPr/>
      <w:rPr>
        <w:b/>
        <w:bCs/>
        <w:color w:val="000000"/>
      </w:rPr>
      <w:tblPr/>
      <w:tcPr>
        <w:tcBorders>
          <w:top w:val="single" w:sz="12" w:space="0" w:color="000000"/>
          <w:left w:val="nil"/>
          <w:bottom w:val="nil"/>
          <w:right w:val="nil"/>
          <w:insideH w:val="nil"/>
          <w:insideV w:val="nil"/>
        </w:tcBorders>
        <w:shd w:val="clear" w:color="auto" w:fill="ffffff"/>
      </w:tcPr>
    </w:tblStylePr>
    <w:tblStylePr w:type="band1Horz">
      <w:pPr/>
      <w:tblPr/>
      <w:tcPr>
        <w:tcBorders>
          <w:insideH w:val="single" w:sz="6" w:space="0" w:color="c0504d"/>
          <w:insideV w:val="single" w:sz="6" w:space="0" w:color="c0504d"/>
        </w:tcBorders>
        <w:shd w:val="clear" w:color="auto" w:fill="dfa7a6"/>
      </w:tcPr>
    </w:tblStylePr>
    <w:tblStylePr w:type="firstCol">
      <w:pPr/>
      <w:rPr>
        <w:b/>
        <w:bCs/>
        <w:color w:val="000000"/>
      </w:rPr>
      <w:tblPr/>
      <w:tcPr>
        <w:tcBorders>
          <w:top w:val="nil"/>
          <w:left w:val="nil"/>
          <w:bottom w:val="nil"/>
          <w:right w:val="nil"/>
          <w:insideH w:val="nil"/>
          <w:insideV w:val="nil"/>
        </w:tcBorders>
        <w:shd w:val="clear" w:color="auto" w:fill="ffffff"/>
      </w:tcPr>
    </w:tblStylePr>
    <w:tblStylePr w:type="lastCol">
      <w:pPr/>
      <w:rPr>
        <w:b w:val="false"/>
        <w:bCs w:val="false"/>
        <w:color w:val="000000"/>
      </w:rPr>
      <w:tblPr/>
      <w:tcPr>
        <w:tcBorders>
          <w:top w:val="nil"/>
          <w:left w:val="nil"/>
          <w:bottom w:val="nil"/>
          <w:right w:val="nil"/>
          <w:insideH w:val="nil"/>
          <w:insideV w:val="nil"/>
        </w:tcBorders>
        <w:shd w:val="clear" w:color="auto" w:fill="f2dbdb"/>
      </w:tcPr>
    </w:tblStylePr>
    <w:tblStylePr w:type="band1Vert">
      <w:pPr/>
      <w:tblPr/>
      <w:tcPr>
        <w:tcBorders/>
        <w:shd w:val="clear" w:color="auto" w:fill="dfa7a6"/>
      </w:tcPr>
    </w:tblStylePr>
    <w:tblStylePr w:type="nwCell">
      <w:pPr/>
      <w:tblPr/>
      <w:tcPr>
        <w:tcBorders/>
        <w:shd w:val="clear" w:color="auto" w:fill="ffffff"/>
      </w:tcPr>
    </w:tblStylePr>
    <w:tcPr>
      <w:tcBorders/>
      <w:shd w:val="clear" w:color="auto" w:fill="efd3d2"/>
    </w:tcPr>
  </w:style>
  <w:style w:type="table" w:styleId="style212">
    <w:name w:val="Medium Grid 2 Accent 3"/>
    <w:basedOn w:val="style105"/>
    <w:next w:val="style212"/>
    <w:uiPriority w:val="68"/>
    <w:pPr>
      <w:spacing w:after="0" w:lineRule="auto" w:line="240"/>
    </w:pPr>
    <w:rPr>
      <w:rFonts w:ascii="Calibri" w:cs="宋体" w:eastAsia="ＭＳ ゴシック" w:hAnsi="Calibri"/>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shd w:val="clear" w:color="auto" w:fill="e6eed5"/>
      <w:tblCellMar>
        <w:top w:w="0" w:type="dxa"/>
        <w:left w:w="108" w:type="dxa"/>
        <w:bottom w:w="0" w:type="dxa"/>
        <w:right w:w="108" w:type="dxa"/>
      </w:tblCellMar>
    </w:tblPr>
    <w:tblStylePr w:type="firstRow">
      <w:pPr/>
      <w:rPr>
        <w:b/>
        <w:bCs/>
        <w:color w:val="000000"/>
      </w:rPr>
      <w:tblPr/>
      <w:tcPr>
        <w:tcBorders/>
        <w:shd w:val="clear" w:color="auto" w:fill="f5f8ee"/>
      </w:tcPr>
    </w:tblStylePr>
    <w:tblStylePr w:type="lastRow">
      <w:pPr/>
      <w:rPr>
        <w:b/>
        <w:bCs/>
        <w:color w:val="000000"/>
      </w:rPr>
      <w:tblPr/>
      <w:tcPr>
        <w:tcBorders>
          <w:top w:val="single" w:sz="12" w:space="0" w:color="000000"/>
          <w:left w:val="nil"/>
          <w:bottom w:val="nil"/>
          <w:right w:val="nil"/>
          <w:insideH w:val="nil"/>
          <w:insideV w:val="nil"/>
        </w:tcBorders>
        <w:shd w:val="clear" w:color="auto" w:fill="ffffff"/>
      </w:tcPr>
    </w:tblStylePr>
    <w:tblStylePr w:type="band1Horz">
      <w:pPr/>
      <w:tblPr/>
      <w:tcPr>
        <w:tcBorders>
          <w:insideH w:val="single" w:sz="6" w:space="0" w:color="9bbb59"/>
          <w:insideV w:val="single" w:sz="6" w:space="0" w:color="9bbb59"/>
        </w:tcBorders>
        <w:shd w:val="clear" w:color="auto" w:fill="cdddac"/>
      </w:tcPr>
    </w:tblStylePr>
    <w:tblStylePr w:type="firstCol">
      <w:pPr/>
      <w:rPr>
        <w:b/>
        <w:bCs/>
        <w:color w:val="000000"/>
      </w:rPr>
      <w:tblPr/>
      <w:tcPr>
        <w:tcBorders>
          <w:top w:val="nil"/>
          <w:left w:val="nil"/>
          <w:bottom w:val="nil"/>
          <w:right w:val="nil"/>
          <w:insideH w:val="nil"/>
          <w:insideV w:val="nil"/>
        </w:tcBorders>
        <w:shd w:val="clear" w:color="auto" w:fill="ffffff"/>
      </w:tcPr>
    </w:tblStylePr>
    <w:tblStylePr w:type="lastCol">
      <w:pPr/>
      <w:rPr>
        <w:b w:val="false"/>
        <w:bCs w:val="false"/>
        <w:color w:val="000000"/>
      </w:rPr>
      <w:tblPr/>
      <w:tcPr>
        <w:tcBorders>
          <w:top w:val="nil"/>
          <w:left w:val="nil"/>
          <w:bottom w:val="nil"/>
          <w:right w:val="nil"/>
          <w:insideH w:val="nil"/>
          <w:insideV w:val="nil"/>
        </w:tcBorders>
        <w:shd w:val="clear" w:color="auto" w:fill="eaf1dd"/>
      </w:tcPr>
    </w:tblStylePr>
    <w:tblStylePr w:type="band1Vert">
      <w:pPr/>
      <w:tblPr/>
      <w:tcPr>
        <w:tcBorders/>
        <w:shd w:val="clear" w:color="auto" w:fill="cdddac"/>
      </w:tcPr>
    </w:tblStylePr>
    <w:tblStylePr w:type="nwCell">
      <w:pPr/>
      <w:tblPr/>
      <w:tcPr>
        <w:tcBorders/>
        <w:shd w:val="clear" w:color="auto" w:fill="ffffff"/>
      </w:tcPr>
    </w:tblStylePr>
    <w:tcPr>
      <w:tcBorders/>
      <w:shd w:val="clear" w:color="auto" w:fill="e6eed5"/>
    </w:tcPr>
  </w:style>
  <w:style w:type="table" w:styleId="style226">
    <w:name w:val="Medium Grid 2 Accent 4"/>
    <w:basedOn w:val="style105"/>
    <w:next w:val="style226"/>
    <w:uiPriority w:val="68"/>
    <w:pPr>
      <w:spacing w:after="0" w:lineRule="auto" w:line="240"/>
    </w:pPr>
    <w:rPr>
      <w:rFonts w:ascii="Calibri" w:cs="宋体" w:eastAsia="ＭＳ ゴシック" w:hAnsi="Calibri"/>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shd w:val="clear" w:color="auto" w:fill="dfd8e8"/>
      <w:tblCellMar>
        <w:top w:w="0" w:type="dxa"/>
        <w:left w:w="108" w:type="dxa"/>
        <w:bottom w:w="0" w:type="dxa"/>
        <w:right w:w="108" w:type="dxa"/>
      </w:tblCellMar>
    </w:tblPr>
    <w:tblStylePr w:type="firstRow">
      <w:pPr/>
      <w:rPr>
        <w:b/>
        <w:bCs/>
        <w:color w:val="000000"/>
      </w:rPr>
      <w:tblPr/>
      <w:tcPr>
        <w:tcBorders/>
        <w:shd w:val="clear" w:color="auto" w:fill="f2eff6"/>
      </w:tcPr>
    </w:tblStylePr>
    <w:tblStylePr w:type="lastRow">
      <w:pPr/>
      <w:rPr>
        <w:b/>
        <w:bCs/>
        <w:color w:val="000000"/>
      </w:rPr>
      <w:tblPr/>
      <w:tcPr>
        <w:tcBorders>
          <w:top w:val="single" w:sz="12" w:space="0" w:color="000000"/>
          <w:left w:val="nil"/>
          <w:bottom w:val="nil"/>
          <w:right w:val="nil"/>
          <w:insideH w:val="nil"/>
          <w:insideV w:val="nil"/>
        </w:tcBorders>
        <w:shd w:val="clear" w:color="auto" w:fill="ffffff"/>
      </w:tcPr>
    </w:tblStylePr>
    <w:tblStylePr w:type="band1Horz">
      <w:pPr/>
      <w:tblPr/>
      <w:tcPr>
        <w:tcBorders>
          <w:insideH w:val="single" w:sz="6" w:space="0" w:color="8064a2"/>
          <w:insideV w:val="single" w:sz="6" w:space="0" w:color="8064a2"/>
        </w:tcBorders>
        <w:shd w:val="clear" w:color="auto" w:fill="bfb1d0"/>
      </w:tcPr>
    </w:tblStylePr>
    <w:tblStylePr w:type="firstCol">
      <w:pPr/>
      <w:rPr>
        <w:b/>
        <w:bCs/>
        <w:color w:val="000000"/>
      </w:rPr>
      <w:tblPr/>
      <w:tcPr>
        <w:tcBorders>
          <w:top w:val="nil"/>
          <w:left w:val="nil"/>
          <w:bottom w:val="nil"/>
          <w:right w:val="nil"/>
          <w:insideH w:val="nil"/>
          <w:insideV w:val="nil"/>
        </w:tcBorders>
        <w:shd w:val="clear" w:color="auto" w:fill="ffffff"/>
      </w:tcPr>
    </w:tblStylePr>
    <w:tblStylePr w:type="lastCol">
      <w:pPr/>
      <w:rPr>
        <w:b w:val="false"/>
        <w:bCs w:val="false"/>
        <w:color w:val="000000"/>
      </w:rPr>
      <w:tblPr/>
      <w:tcPr>
        <w:tcBorders>
          <w:top w:val="nil"/>
          <w:left w:val="nil"/>
          <w:bottom w:val="nil"/>
          <w:right w:val="nil"/>
          <w:insideH w:val="nil"/>
          <w:insideV w:val="nil"/>
        </w:tcBorders>
        <w:shd w:val="clear" w:color="auto" w:fill="e5dfec"/>
      </w:tcPr>
    </w:tblStylePr>
    <w:tblStylePr w:type="band1Vert">
      <w:pPr/>
      <w:tblPr/>
      <w:tcPr>
        <w:tcBorders/>
        <w:shd w:val="clear" w:color="auto" w:fill="bfb1d0"/>
      </w:tcPr>
    </w:tblStylePr>
    <w:tblStylePr w:type="nwCell">
      <w:pPr/>
      <w:tblPr/>
      <w:tcPr>
        <w:tcBorders/>
        <w:shd w:val="clear" w:color="auto" w:fill="ffffff"/>
      </w:tcPr>
    </w:tblStylePr>
    <w:tcPr>
      <w:tcBorders/>
      <w:shd w:val="clear" w:color="auto" w:fill="dfd8e8"/>
    </w:tcPr>
  </w:style>
  <w:style w:type="table" w:styleId="style240">
    <w:name w:val="Medium Grid 2 Accent 5"/>
    <w:basedOn w:val="style105"/>
    <w:next w:val="style240"/>
    <w:uiPriority w:val="68"/>
    <w:pPr>
      <w:spacing w:after="0" w:lineRule="auto" w:line="240"/>
    </w:pPr>
    <w:rPr>
      <w:rFonts w:ascii="Calibri" w:cs="宋体" w:eastAsia="ＭＳ ゴシック" w:hAnsi="Calibri"/>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shd w:val="clear" w:color="auto" w:fill="d2eaf1"/>
      <w:tblCellMar>
        <w:top w:w="0" w:type="dxa"/>
        <w:left w:w="108" w:type="dxa"/>
        <w:bottom w:w="0" w:type="dxa"/>
        <w:right w:w="108" w:type="dxa"/>
      </w:tblCellMar>
    </w:tblPr>
    <w:tblStylePr w:type="firstRow">
      <w:pPr/>
      <w:rPr>
        <w:b/>
        <w:bCs/>
        <w:color w:val="000000"/>
      </w:rPr>
      <w:tblPr/>
      <w:tcPr>
        <w:tcBorders/>
        <w:shd w:val="clear" w:color="auto" w:fill="edf6f9"/>
      </w:tcPr>
    </w:tblStylePr>
    <w:tblStylePr w:type="lastRow">
      <w:pPr/>
      <w:rPr>
        <w:b/>
        <w:bCs/>
        <w:color w:val="000000"/>
      </w:rPr>
      <w:tblPr/>
      <w:tcPr>
        <w:tcBorders>
          <w:top w:val="single" w:sz="12" w:space="0" w:color="000000"/>
          <w:left w:val="nil"/>
          <w:bottom w:val="nil"/>
          <w:right w:val="nil"/>
          <w:insideH w:val="nil"/>
          <w:insideV w:val="nil"/>
        </w:tcBorders>
        <w:shd w:val="clear" w:color="auto" w:fill="ffffff"/>
      </w:tcPr>
    </w:tblStylePr>
    <w:tblStylePr w:type="band1Horz">
      <w:pPr/>
      <w:tblPr/>
      <w:tcPr>
        <w:tcBorders>
          <w:insideH w:val="single" w:sz="6" w:space="0" w:color="4bacc6"/>
          <w:insideV w:val="single" w:sz="6" w:space="0" w:color="4bacc6"/>
        </w:tcBorders>
        <w:shd w:val="clear" w:color="auto" w:fill="a5d5e2"/>
      </w:tcPr>
    </w:tblStylePr>
    <w:tblStylePr w:type="firstCol">
      <w:pPr/>
      <w:rPr>
        <w:b/>
        <w:bCs/>
        <w:color w:val="000000"/>
      </w:rPr>
      <w:tblPr/>
      <w:tcPr>
        <w:tcBorders>
          <w:top w:val="nil"/>
          <w:left w:val="nil"/>
          <w:bottom w:val="nil"/>
          <w:right w:val="nil"/>
          <w:insideH w:val="nil"/>
          <w:insideV w:val="nil"/>
        </w:tcBorders>
        <w:shd w:val="clear" w:color="auto" w:fill="ffffff"/>
      </w:tcPr>
    </w:tblStylePr>
    <w:tblStylePr w:type="lastCol">
      <w:pPr/>
      <w:rPr>
        <w:b w:val="false"/>
        <w:bCs w:val="false"/>
        <w:color w:val="000000"/>
      </w:rPr>
      <w:tblPr/>
      <w:tcPr>
        <w:tcBorders>
          <w:top w:val="nil"/>
          <w:left w:val="nil"/>
          <w:bottom w:val="nil"/>
          <w:right w:val="nil"/>
          <w:insideH w:val="nil"/>
          <w:insideV w:val="nil"/>
        </w:tcBorders>
        <w:shd w:val="clear" w:color="auto" w:fill="daeef3"/>
      </w:tcPr>
    </w:tblStylePr>
    <w:tblStylePr w:type="band1Vert">
      <w:pPr/>
      <w:tblPr/>
      <w:tcPr>
        <w:tcBorders/>
        <w:shd w:val="clear" w:color="auto" w:fill="a5d5e2"/>
      </w:tcPr>
    </w:tblStylePr>
    <w:tblStylePr w:type="nwCell">
      <w:pPr/>
      <w:tblPr/>
      <w:tcPr>
        <w:tcBorders/>
        <w:shd w:val="clear" w:color="auto" w:fill="ffffff"/>
      </w:tcPr>
    </w:tblStylePr>
    <w:tcPr>
      <w:tcBorders/>
      <w:shd w:val="clear" w:color="auto" w:fill="d2eaf1"/>
    </w:tcPr>
  </w:style>
  <w:style w:type="table" w:styleId="style254">
    <w:name w:val="Medium Grid 2 Accent 6"/>
    <w:basedOn w:val="style105"/>
    <w:next w:val="style254"/>
    <w:uiPriority w:val="68"/>
    <w:pPr>
      <w:spacing w:after="0" w:lineRule="auto" w:line="240"/>
    </w:pPr>
    <w:rPr>
      <w:rFonts w:ascii="Calibri" w:cs="宋体" w:eastAsia="ＭＳ ゴシック" w:hAnsi="Calibri"/>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shd w:val="clear" w:color="auto" w:fill="fde4d0"/>
      <w:tblCellMar>
        <w:top w:w="0" w:type="dxa"/>
        <w:left w:w="108" w:type="dxa"/>
        <w:bottom w:w="0" w:type="dxa"/>
        <w:right w:w="108" w:type="dxa"/>
      </w:tblCellMar>
    </w:tblPr>
    <w:tblStylePr w:type="firstRow">
      <w:pPr/>
      <w:rPr>
        <w:b/>
        <w:bCs/>
        <w:color w:val="000000"/>
      </w:rPr>
      <w:tblPr/>
      <w:tcPr>
        <w:tcBorders/>
        <w:shd w:val="clear" w:color="auto" w:fill="fef4ec"/>
      </w:tcPr>
    </w:tblStylePr>
    <w:tblStylePr w:type="lastRow">
      <w:pPr/>
      <w:rPr>
        <w:b/>
        <w:bCs/>
        <w:color w:val="000000"/>
      </w:rPr>
      <w:tblPr/>
      <w:tcPr>
        <w:tcBorders>
          <w:top w:val="single" w:sz="12" w:space="0" w:color="000000"/>
          <w:left w:val="nil"/>
          <w:bottom w:val="nil"/>
          <w:right w:val="nil"/>
          <w:insideH w:val="nil"/>
          <w:insideV w:val="nil"/>
        </w:tcBorders>
        <w:shd w:val="clear" w:color="auto" w:fill="ffffff"/>
      </w:tcPr>
    </w:tblStylePr>
    <w:tblStylePr w:type="band1Horz">
      <w:pPr/>
      <w:tblPr/>
      <w:tcPr>
        <w:tcBorders>
          <w:insideH w:val="single" w:sz="6" w:space="0" w:color="f79646"/>
          <w:insideV w:val="single" w:sz="6" w:space="0" w:color="f79646"/>
        </w:tcBorders>
        <w:shd w:val="clear" w:color="auto" w:fill="fbcaa2"/>
      </w:tcPr>
    </w:tblStylePr>
    <w:tblStylePr w:type="firstCol">
      <w:pPr/>
      <w:rPr>
        <w:b/>
        <w:bCs/>
        <w:color w:val="000000"/>
      </w:rPr>
      <w:tblPr/>
      <w:tcPr>
        <w:tcBorders>
          <w:top w:val="nil"/>
          <w:left w:val="nil"/>
          <w:bottom w:val="nil"/>
          <w:right w:val="nil"/>
          <w:insideH w:val="nil"/>
          <w:insideV w:val="nil"/>
        </w:tcBorders>
        <w:shd w:val="clear" w:color="auto" w:fill="ffffff"/>
      </w:tcPr>
    </w:tblStylePr>
    <w:tblStylePr w:type="lastCol">
      <w:pPr/>
      <w:rPr>
        <w:b w:val="false"/>
        <w:bCs w:val="false"/>
        <w:color w:val="000000"/>
      </w:rPr>
      <w:tblPr/>
      <w:tcPr>
        <w:tcBorders>
          <w:top w:val="nil"/>
          <w:left w:val="nil"/>
          <w:bottom w:val="nil"/>
          <w:right w:val="nil"/>
          <w:insideH w:val="nil"/>
          <w:insideV w:val="nil"/>
        </w:tcBorders>
        <w:shd w:val="clear" w:color="auto" w:fill="fde9d9"/>
      </w:tcPr>
    </w:tblStylePr>
    <w:tblStylePr w:type="band1Vert">
      <w:pPr/>
      <w:tblPr/>
      <w:tcPr>
        <w:tcBorders/>
        <w:shd w:val="clear" w:color="auto" w:fill="fbcaa2"/>
      </w:tcPr>
    </w:tblStylePr>
    <w:tblStylePr w:type="nwCell">
      <w:pPr/>
      <w:tblPr/>
      <w:tcPr>
        <w:tcBorders/>
        <w:shd w:val="clear" w:color="auto" w:fill="ffffff"/>
      </w:tcPr>
    </w:tblStylePr>
    <w:tcPr>
      <w:tcBorders/>
      <w:shd w:val="clear" w:color="auto" w:fill="fde4d0"/>
    </w:tcPr>
  </w:style>
  <w:style w:type="table" w:styleId="style167">
    <w:name w:val="Medium Grid 3"/>
    <w:basedOn w:val="style105"/>
    <w:next w:val="style167"/>
    <w:uiPriority w:val="69"/>
    <w:pPr>
      <w:spacing w:after="0" w:lineRule="auto" w:line="240"/>
    </w:pP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shd w:val="clear" w:color="auto" w:fill="c0c0c0"/>
      <w:tblCellMar>
        <w:top w:w="0" w:type="dxa"/>
        <w:left w:w="108" w:type="dxa"/>
        <w:bottom w:w="0" w:type="dxa"/>
        <w:right w:w="108" w:type="dxa"/>
      </w:tblCellMar>
    </w:tblPr>
    <w:tblStylePr w:type="firstRow">
      <w:pPr/>
      <w:rPr>
        <w:b/>
        <w:bCs/>
        <w:i w:val="false"/>
        <w:iCs w:val="false"/>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pPr/>
      <w:rPr>
        <w:b/>
        <w:bCs/>
        <w:i w:val="false"/>
        <w:iCs w:val="false"/>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band1Horz">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tblStylePr w:type="firstCol">
      <w:pPr/>
      <w:rPr>
        <w:b/>
        <w:bCs/>
        <w:i w:val="false"/>
        <w:iCs w:val="false"/>
        <w:color w:val="ffffff"/>
      </w:rPr>
      <w:tblPr/>
      <w:tcPr>
        <w:tcBorders>
          <w:left w:val="single" w:sz="8" w:space="0" w:color="ffffff"/>
          <w:right w:val="single" w:sz="24" w:space="0" w:color="ffffff"/>
          <w:insideH w:val="nil"/>
          <w:insideV w:val="nil"/>
        </w:tcBorders>
        <w:shd w:val="clear" w:color="auto" w:fill="000000"/>
      </w:tcPr>
    </w:tblStylePr>
    <w:tblStylePr w:type="lastCol">
      <w:pPr/>
      <w:rPr>
        <w:b/>
        <w:bCs/>
        <w:i w:val="false"/>
        <w:iCs w:val="false"/>
        <w:color w:val="ffffff"/>
      </w:rPr>
      <w:tblPr/>
      <w:tcPr>
        <w:tcBorders>
          <w:top w:val="nil"/>
          <w:left w:val="single" w:sz="24" w:space="0" w:color="ffffff"/>
          <w:bottom w:val="nil"/>
          <w:right w:val="nil"/>
          <w:insideH w:val="nil"/>
          <w:insideV w:val="nil"/>
        </w:tcBorders>
        <w:shd w:val="clear" w:color="auto" w:fill="000000"/>
      </w:tcPr>
    </w:tblStylePr>
    <w:tblStylePr w:type="band1Vert">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cPr>
      <w:tcBorders/>
      <w:shd w:val="clear" w:color="auto" w:fill="c0c0c0"/>
    </w:tcPr>
  </w:style>
  <w:style w:type="table" w:styleId="style185">
    <w:name w:val="Medium Grid 3 Accent 1"/>
    <w:basedOn w:val="style105"/>
    <w:next w:val="style185"/>
    <w:uiPriority w:val="69"/>
    <w:pPr>
      <w:spacing w:after="0" w:lineRule="auto" w:line="240"/>
    </w:pP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shd w:val="clear" w:color="auto" w:fill="d3dfee"/>
      <w:tblCellMar>
        <w:top w:w="0" w:type="dxa"/>
        <w:left w:w="108" w:type="dxa"/>
        <w:bottom w:w="0" w:type="dxa"/>
        <w:right w:w="108" w:type="dxa"/>
      </w:tblCellMar>
    </w:tblPr>
    <w:tblStylePr w:type="firstRow">
      <w:pPr/>
      <w:rPr>
        <w:b/>
        <w:bCs/>
        <w:i w:val="false"/>
        <w:iCs w:val="false"/>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pPr/>
      <w:rPr>
        <w:b/>
        <w:bCs/>
        <w:i w:val="false"/>
        <w:iCs w:val="false"/>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band1Horz">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tblStylePr w:type="firstCol">
      <w:pPr/>
      <w:rPr>
        <w:b/>
        <w:bCs/>
        <w:i w:val="false"/>
        <w:iCs w:val="false"/>
        <w:color w:val="ffffff"/>
      </w:rPr>
      <w:tblPr/>
      <w:tcPr>
        <w:tcBorders>
          <w:left w:val="single" w:sz="8" w:space="0" w:color="ffffff"/>
          <w:right w:val="single" w:sz="24" w:space="0" w:color="ffffff"/>
          <w:insideH w:val="nil"/>
          <w:insideV w:val="nil"/>
        </w:tcBorders>
        <w:shd w:val="clear" w:color="auto" w:fill="4f81bd"/>
      </w:tcPr>
    </w:tblStylePr>
    <w:tblStylePr w:type="lastCol">
      <w:pPr/>
      <w:rPr>
        <w:b/>
        <w:bCs/>
        <w:i w:val="false"/>
        <w:iCs w:val="false"/>
        <w:color w:val="ffffff"/>
      </w:rPr>
      <w:tblPr/>
      <w:tcPr>
        <w:tcBorders>
          <w:top w:val="nil"/>
          <w:left w:val="single" w:sz="24" w:space="0" w:color="ffffff"/>
          <w:bottom w:val="nil"/>
          <w:right w:val="nil"/>
          <w:insideH w:val="nil"/>
          <w:insideV w:val="nil"/>
        </w:tcBorders>
        <w:shd w:val="clear" w:color="auto" w:fill="4f81bd"/>
      </w:tcPr>
    </w:tblStylePr>
    <w:tblStylePr w:type="band1Vert">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cPr>
      <w:tcBorders/>
      <w:shd w:val="clear" w:color="auto" w:fill="d3dfee"/>
    </w:tcPr>
  </w:style>
  <w:style w:type="table" w:styleId="style199">
    <w:name w:val="Medium Grid 3 Accent 2"/>
    <w:basedOn w:val="style105"/>
    <w:next w:val="style199"/>
    <w:uiPriority w:val="69"/>
    <w:pPr>
      <w:spacing w:after="0" w:lineRule="auto" w:line="240"/>
    </w:pP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shd w:val="clear" w:color="auto" w:fill="efd3d2"/>
      <w:tblCellMar>
        <w:top w:w="0" w:type="dxa"/>
        <w:left w:w="108" w:type="dxa"/>
        <w:bottom w:w="0" w:type="dxa"/>
        <w:right w:w="108" w:type="dxa"/>
      </w:tblCellMar>
    </w:tblPr>
    <w:tblStylePr w:type="firstRow">
      <w:pPr/>
      <w:rPr>
        <w:b/>
        <w:bCs/>
        <w:i w:val="false"/>
        <w:iCs w:val="false"/>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pPr/>
      <w:rPr>
        <w:b/>
        <w:bCs/>
        <w:i w:val="false"/>
        <w:iCs w:val="false"/>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band1Horz">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tblStylePr w:type="firstCol">
      <w:pPr/>
      <w:rPr>
        <w:b/>
        <w:bCs/>
        <w:i w:val="false"/>
        <w:iCs w:val="false"/>
        <w:color w:val="ffffff"/>
      </w:rPr>
      <w:tblPr/>
      <w:tcPr>
        <w:tcBorders>
          <w:left w:val="single" w:sz="8" w:space="0" w:color="ffffff"/>
          <w:right w:val="single" w:sz="24" w:space="0" w:color="ffffff"/>
          <w:insideH w:val="nil"/>
          <w:insideV w:val="nil"/>
        </w:tcBorders>
        <w:shd w:val="clear" w:color="auto" w:fill="c0504d"/>
      </w:tcPr>
    </w:tblStylePr>
    <w:tblStylePr w:type="lastCol">
      <w:pPr/>
      <w:rPr>
        <w:b/>
        <w:bCs/>
        <w:i w:val="false"/>
        <w:iCs w:val="false"/>
        <w:color w:val="ffffff"/>
      </w:rPr>
      <w:tblPr/>
      <w:tcPr>
        <w:tcBorders>
          <w:top w:val="nil"/>
          <w:left w:val="single" w:sz="24" w:space="0" w:color="ffffff"/>
          <w:bottom w:val="nil"/>
          <w:right w:val="nil"/>
          <w:insideH w:val="nil"/>
          <w:insideV w:val="nil"/>
        </w:tcBorders>
        <w:shd w:val="clear" w:color="auto" w:fill="c0504d"/>
      </w:tcPr>
    </w:tblStylePr>
    <w:tblStylePr w:type="band1Vert">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cPr>
      <w:tcBorders/>
      <w:shd w:val="clear" w:color="auto" w:fill="efd3d2"/>
    </w:tcPr>
  </w:style>
  <w:style w:type="table" w:styleId="style213">
    <w:name w:val="Medium Grid 3 Accent 3"/>
    <w:basedOn w:val="style105"/>
    <w:next w:val="style213"/>
    <w:uiPriority w:val="69"/>
    <w:pPr>
      <w:spacing w:after="0" w:lineRule="auto" w:line="240"/>
    </w:pP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shd w:val="clear" w:color="auto" w:fill="e6eed5"/>
      <w:tblCellMar>
        <w:top w:w="0" w:type="dxa"/>
        <w:left w:w="108" w:type="dxa"/>
        <w:bottom w:w="0" w:type="dxa"/>
        <w:right w:w="108" w:type="dxa"/>
      </w:tblCellMar>
    </w:tblPr>
    <w:tblStylePr w:type="firstRow">
      <w:pPr/>
      <w:rPr>
        <w:b/>
        <w:bCs/>
        <w:i w:val="false"/>
        <w:iCs w:val="false"/>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pPr/>
      <w:rPr>
        <w:b/>
        <w:bCs/>
        <w:i w:val="false"/>
        <w:iCs w:val="false"/>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band1Horz">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tblStylePr w:type="firstCol">
      <w:pPr/>
      <w:rPr>
        <w:b/>
        <w:bCs/>
        <w:i w:val="false"/>
        <w:iCs w:val="false"/>
        <w:color w:val="ffffff"/>
      </w:rPr>
      <w:tblPr/>
      <w:tcPr>
        <w:tcBorders>
          <w:left w:val="single" w:sz="8" w:space="0" w:color="ffffff"/>
          <w:right w:val="single" w:sz="24" w:space="0" w:color="ffffff"/>
          <w:insideH w:val="nil"/>
          <w:insideV w:val="nil"/>
        </w:tcBorders>
        <w:shd w:val="clear" w:color="auto" w:fill="9bbb59"/>
      </w:tcPr>
    </w:tblStylePr>
    <w:tblStylePr w:type="lastCol">
      <w:pPr/>
      <w:rPr>
        <w:b/>
        <w:bCs/>
        <w:i w:val="false"/>
        <w:iCs w:val="false"/>
        <w:color w:val="ffffff"/>
      </w:rPr>
      <w:tblPr/>
      <w:tcPr>
        <w:tcBorders>
          <w:top w:val="nil"/>
          <w:left w:val="single" w:sz="24" w:space="0" w:color="ffffff"/>
          <w:bottom w:val="nil"/>
          <w:right w:val="nil"/>
          <w:insideH w:val="nil"/>
          <w:insideV w:val="nil"/>
        </w:tcBorders>
        <w:shd w:val="clear" w:color="auto" w:fill="9bbb59"/>
      </w:tcPr>
    </w:tblStylePr>
    <w:tblStylePr w:type="band1Vert">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cPr>
      <w:tcBorders/>
      <w:shd w:val="clear" w:color="auto" w:fill="e6eed5"/>
    </w:tcPr>
  </w:style>
  <w:style w:type="table" w:styleId="style227">
    <w:name w:val="Medium Grid 3 Accent 4"/>
    <w:basedOn w:val="style105"/>
    <w:next w:val="style227"/>
    <w:uiPriority w:val="69"/>
    <w:pPr>
      <w:spacing w:after="0" w:lineRule="auto" w:line="240"/>
    </w:pP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shd w:val="clear" w:color="auto" w:fill="dfd8e8"/>
      <w:tblCellMar>
        <w:top w:w="0" w:type="dxa"/>
        <w:left w:w="108" w:type="dxa"/>
        <w:bottom w:w="0" w:type="dxa"/>
        <w:right w:w="108" w:type="dxa"/>
      </w:tblCellMar>
    </w:tblPr>
    <w:tblStylePr w:type="firstRow">
      <w:pPr/>
      <w:rPr>
        <w:b/>
        <w:bCs/>
        <w:i w:val="false"/>
        <w:iCs w:val="false"/>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pPr/>
      <w:rPr>
        <w:b/>
        <w:bCs/>
        <w:i w:val="false"/>
        <w:iCs w:val="false"/>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band1Horz">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tblStylePr w:type="firstCol">
      <w:pPr/>
      <w:rPr>
        <w:b/>
        <w:bCs/>
        <w:i w:val="false"/>
        <w:iCs w:val="false"/>
        <w:color w:val="ffffff"/>
      </w:rPr>
      <w:tblPr/>
      <w:tcPr>
        <w:tcBorders>
          <w:left w:val="single" w:sz="8" w:space="0" w:color="ffffff"/>
          <w:right w:val="single" w:sz="24" w:space="0" w:color="ffffff"/>
          <w:insideH w:val="nil"/>
          <w:insideV w:val="nil"/>
        </w:tcBorders>
        <w:shd w:val="clear" w:color="auto" w:fill="8064a2"/>
      </w:tcPr>
    </w:tblStylePr>
    <w:tblStylePr w:type="lastCol">
      <w:pPr/>
      <w:rPr>
        <w:b/>
        <w:bCs/>
        <w:i w:val="false"/>
        <w:iCs w:val="false"/>
        <w:color w:val="ffffff"/>
      </w:rPr>
      <w:tblPr/>
      <w:tcPr>
        <w:tcBorders>
          <w:top w:val="nil"/>
          <w:left w:val="single" w:sz="24" w:space="0" w:color="ffffff"/>
          <w:bottom w:val="nil"/>
          <w:right w:val="nil"/>
          <w:insideH w:val="nil"/>
          <w:insideV w:val="nil"/>
        </w:tcBorders>
        <w:shd w:val="clear" w:color="auto" w:fill="8064a2"/>
      </w:tcPr>
    </w:tblStylePr>
    <w:tblStylePr w:type="band1Vert">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cPr>
      <w:tcBorders/>
      <w:shd w:val="clear" w:color="auto" w:fill="dfd8e8"/>
    </w:tcPr>
  </w:style>
  <w:style w:type="table" w:styleId="style241">
    <w:name w:val="Medium Grid 3 Accent 5"/>
    <w:basedOn w:val="style105"/>
    <w:next w:val="style241"/>
    <w:uiPriority w:val="69"/>
    <w:pPr>
      <w:spacing w:after="0" w:lineRule="auto" w:line="240"/>
    </w:pP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shd w:val="clear" w:color="auto" w:fill="d2eaf1"/>
      <w:tblCellMar>
        <w:top w:w="0" w:type="dxa"/>
        <w:left w:w="108" w:type="dxa"/>
        <w:bottom w:w="0" w:type="dxa"/>
        <w:right w:w="108" w:type="dxa"/>
      </w:tblCellMar>
    </w:tblPr>
    <w:tblStylePr w:type="firstRow">
      <w:pPr/>
      <w:rPr>
        <w:b/>
        <w:bCs/>
        <w:i w:val="false"/>
        <w:iCs w:val="false"/>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pPr/>
      <w:rPr>
        <w:b/>
        <w:bCs/>
        <w:i w:val="false"/>
        <w:iCs w:val="false"/>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band1Horz">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tblStylePr w:type="firstCol">
      <w:pPr/>
      <w:rPr>
        <w:b/>
        <w:bCs/>
        <w:i w:val="false"/>
        <w:iCs w:val="false"/>
        <w:color w:val="ffffff"/>
      </w:rPr>
      <w:tblPr/>
      <w:tcPr>
        <w:tcBorders>
          <w:left w:val="single" w:sz="8" w:space="0" w:color="ffffff"/>
          <w:right w:val="single" w:sz="24" w:space="0" w:color="ffffff"/>
          <w:insideH w:val="nil"/>
          <w:insideV w:val="nil"/>
        </w:tcBorders>
        <w:shd w:val="clear" w:color="auto" w:fill="4bacc6"/>
      </w:tcPr>
    </w:tblStylePr>
    <w:tblStylePr w:type="lastCol">
      <w:pPr/>
      <w:rPr>
        <w:b/>
        <w:bCs/>
        <w:i w:val="false"/>
        <w:iCs w:val="false"/>
        <w:color w:val="ffffff"/>
      </w:rPr>
      <w:tblPr/>
      <w:tcPr>
        <w:tcBorders>
          <w:top w:val="nil"/>
          <w:left w:val="single" w:sz="24" w:space="0" w:color="ffffff"/>
          <w:bottom w:val="nil"/>
          <w:right w:val="nil"/>
          <w:insideH w:val="nil"/>
          <w:insideV w:val="nil"/>
        </w:tcBorders>
        <w:shd w:val="clear" w:color="auto" w:fill="4bacc6"/>
      </w:tcPr>
    </w:tblStylePr>
    <w:tblStylePr w:type="band1Vert">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cPr>
      <w:tcBorders/>
      <w:shd w:val="clear" w:color="auto" w:fill="d2eaf1"/>
    </w:tcPr>
  </w:style>
  <w:style w:type="table" w:styleId="style255">
    <w:name w:val="Medium Grid 3 Accent 6"/>
    <w:basedOn w:val="style105"/>
    <w:next w:val="style255"/>
    <w:uiPriority w:val="69"/>
    <w:pPr>
      <w:spacing w:after="0" w:lineRule="auto" w:line="240"/>
    </w:pP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shd w:val="clear" w:color="auto" w:fill="fde4d0"/>
      <w:tblCellMar>
        <w:top w:w="0" w:type="dxa"/>
        <w:left w:w="108" w:type="dxa"/>
        <w:bottom w:w="0" w:type="dxa"/>
        <w:right w:w="108" w:type="dxa"/>
      </w:tblCellMar>
    </w:tblPr>
    <w:tblStylePr w:type="firstRow">
      <w:pPr/>
      <w:rPr>
        <w:b/>
        <w:bCs/>
        <w:i w:val="false"/>
        <w:iCs w:val="false"/>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pPr/>
      <w:rPr>
        <w:b/>
        <w:bCs/>
        <w:i w:val="false"/>
        <w:iCs w:val="false"/>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band1Horz">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tblStylePr w:type="firstCol">
      <w:pPr/>
      <w:rPr>
        <w:b/>
        <w:bCs/>
        <w:i w:val="false"/>
        <w:iCs w:val="false"/>
        <w:color w:val="ffffff"/>
      </w:rPr>
      <w:tblPr/>
      <w:tcPr>
        <w:tcBorders>
          <w:left w:val="single" w:sz="8" w:space="0" w:color="ffffff"/>
          <w:right w:val="single" w:sz="24" w:space="0" w:color="ffffff"/>
          <w:insideH w:val="nil"/>
          <w:insideV w:val="nil"/>
        </w:tcBorders>
        <w:shd w:val="clear" w:color="auto" w:fill="f79646"/>
      </w:tcPr>
    </w:tblStylePr>
    <w:tblStylePr w:type="lastCol">
      <w:pPr/>
      <w:rPr>
        <w:b/>
        <w:bCs/>
        <w:i w:val="false"/>
        <w:iCs w:val="false"/>
        <w:color w:val="ffffff"/>
      </w:rPr>
      <w:tblPr/>
      <w:tcPr>
        <w:tcBorders>
          <w:top w:val="nil"/>
          <w:left w:val="single" w:sz="24" w:space="0" w:color="ffffff"/>
          <w:bottom w:val="nil"/>
          <w:right w:val="nil"/>
          <w:insideH w:val="nil"/>
          <w:insideV w:val="nil"/>
        </w:tcBorders>
        <w:shd w:val="clear" w:color="auto" w:fill="f79646"/>
      </w:tcPr>
    </w:tblStylePr>
    <w:tblStylePr w:type="band1Vert">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cPr>
      <w:tcBorders/>
      <w:shd w:val="clear" w:color="auto" w:fill="fde4d0"/>
    </w:tcPr>
  </w:style>
  <w:style w:type="table" w:styleId="style168">
    <w:name w:val="Dark List"/>
    <w:basedOn w:val="style105"/>
    <w:next w:val="style168"/>
    <w:uiPriority w:val="70"/>
    <w:pPr>
      <w:spacing w:after="0" w:lineRule="auto" w:line="240"/>
    </w:pPr>
    <w:rPr>
      <w:color w:val="ffffff"/>
    </w:rPr>
    <w:tblPr>
      <w:tblStyleRowBandSize w:val="1"/>
      <w:tblStyleColBandSize w:val="1"/>
      <w:tblInd w:w="0" w:type="dxa"/>
      <w:shd w:val="clear" w:color="auto" w:fill="000000"/>
      <w:tblCellMar>
        <w:top w:w="0" w:type="dxa"/>
        <w:left w:w="108" w:type="dxa"/>
        <w:bottom w:w="0" w:type="dxa"/>
        <w:right w:w="108" w:type="dxa"/>
      </w:tblCellMar>
    </w:tblPr>
    <w:tblStylePr w:type="firstRow">
      <w:pPr/>
      <w:rPr>
        <w:b/>
        <w:bCs/>
      </w:rPr>
      <w:tblPr/>
      <w:tcPr>
        <w:tcBorders>
          <w:top w:val="nil"/>
          <w:left w:val="nil"/>
          <w:bottom w:val="single" w:sz="18" w:space="0" w:color="ffffff"/>
          <w:right w:val="nil"/>
          <w:insideH w:val="nil"/>
          <w:insideV w:val="nil"/>
        </w:tcBorders>
        <w:shd w:val="clear" w:color="auto" w:fill="000000"/>
      </w:tcPr>
    </w:tblStylePr>
    <w:tblStylePr w:type="lastRow">
      <w:pPr/>
      <w:tblPr/>
      <w:tcPr>
        <w:tcBorders>
          <w:top w:val="single" w:sz="18" w:space="0" w:color="ffffff"/>
          <w:left w:val="nil"/>
          <w:bottom w:val="nil"/>
          <w:right w:val="nil"/>
          <w:insideH w:val="nil"/>
          <w:insideV w:val="nil"/>
        </w:tcBorders>
        <w:shd w:val="clear" w:color="auto" w:fill="000000"/>
      </w:tcPr>
    </w:tblStylePr>
    <w:tblStylePr w:type="band1Horz">
      <w:pPr/>
      <w:tblPr/>
      <w:tcPr>
        <w:tcBorders>
          <w:top w:val="nil"/>
          <w:left w:val="nil"/>
          <w:bottom w:val="nil"/>
          <w:right w:val="nil"/>
          <w:insideH w:val="nil"/>
          <w:insideV w:val="nil"/>
        </w:tcBorders>
        <w:shd w:val="clear" w:color="auto" w:fill="000000"/>
      </w:tcPr>
    </w:tblStylePr>
    <w:tblStylePr w:type="firstCol">
      <w:pPr/>
      <w:tblPr/>
      <w:tcPr>
        <w:tcBorders>
          <w:top w:val="nil"/>
          <w:left w:val="nil"/>
          <w:bottom w:val="nil"/>
          <w:right w:val="single" w:sz="18" w:space="0" w:color="ffffff"/>
          <w:insideH w:val="nil"/>
          <w:insideV w:val="nil"/>
        </w:tcBorders>
        <w:shd w:val="clear" w:color="auto" w:fill="000000"/>
      </w:tcPr>
    </w:tblStylePr>
    <w:tblStylePr w:type="lastCol">
      <w:pPr/>
      <w:tblPr/>
      <w:tcPr>
        <w:tcBorders>
          <w:top w:val="nil"/>
          <w:left w:val="single" w:sz="18" w:space="0" w:color="ffffff"/>
          <w:bottom w:val="nil"/>
          <w:right w:val="nil"/>
          <w:insideH w:val="nil"/>
          <w:insideV w:val="nil"/>
        </w:tcBorders>
        <w:shd w:val="clear" w:color="auto" w:fill="000000"/>
      </w:tcPr>
    </w:tblStylePr>
    <w:tblStylePr w:type="band1Vert">
      <w:pPr/>
      <w:tblPr/>
      <w:tcPr>
        <w:tcBorders>
          <w:top w:val="nil"/>
          <w:left w:val="nil"/>
          <w:bottom w:val="nil"/>
          <w:right w:val="nil"/>
          <w:insideH w:val="nil"/>
          <w:insideV w:val="nil"/>
        </w:tcBorders>
        <w:shd w:val="clear" w:color="auto" w:fill="000000"/>
      </w:tcPr>
    </w:tblStylePr>
    <w:tcPr>
      <w:tcBorders/>
      <w:shd w:val="clear" w:color="auto" w:fill="000000"/>
    </w:tcPr>
  </w:style>
  <w:style w:type="table" w:styleId="style186">
    <w:name w:val="Dark List Accent 1"/>
    <w:basedOn w:val="style105"/>
    <w:next w:val="style186"/>
    <w:uiPriority w:val="70"/>
    <w:pPr>
      <w:spacing w:after="0" w:lineRule="auto" w:line="240"/>
    </w:pPr>
    <w:rPr>
      <w:color w:val="ffffff"/>
    </w:rPr>
    <w:tblPr>
      <w:tblStyleRowBandSize w:val="1"/>
      <w:tblStyleColBandSize w:val="1"/>
      <w:tblInd w:w="0" w:type="dxa"/>
      <w:shd w:val="clear" w:color="auto" w:fill="4f81bd"/>
      <w:tblCellMar>
        <w:top w:w="0" w:type="dxa"/>
        <w:left w:w="108" w:type="dxa"/>
        <w:bottom w:w="0" w:type="dxa"/>
        <w:right w:w="108" w:type="dxa"/>
      </w:tblCellMar>
    </w:tblPr>
    <w:tblStylePr w:type="firstRow">
      <w:pPr/>
      <w:rPr>
        <w:b/>
        <w:bCs/>
      </w:rPr>
      <w:tblPr/>
      <w:tcPr>
        <w:tcBorders>
          <w:top w:val="nil"/>
          <w:left w:val="nil"/>
          <w:bottom w:val="single" w:sz="18" w:space="0" w:color="ffffff"/>
          <w:right w:val="nil"/>
          <w:insideH w:val="nil"/>
          <w:insideV w:val="nil"/>
        </w:tcBorders>
        <w:shd w:val="clear" w:color="auto" w:fill="000000"/>
      </w:tcPr>
    </w:tblStylePr>
    <w:tblStylePr w:type="lastRow">
      <w:pPr/>
      <w:tblPr/>
      <w:tcPr>
        <w:tcBorders>
          <w:top w:val="single" w:sz="18" w:space="0" w:color="ffffff"/>
          <w:left w:val="nil"/>
          <w:bottom w:val="nil"/>
          <w:right w:val="nil"/>
          <w:insideH w:val="nil"/>
          <w:insideV w:val="nil"/>
        </w:tcBorders>
        <w:shd w:val="clear" w:color="auto" w:fill="243f60"/>
      </w:tcPr>
    </w:tblStylePr>
    <w:tblStylePr w:type="band1Horz">
      <w:pPr/>
      <w:tblPr/>
      <w:tcPr>
        <w:tcBorders>
          <w:top w:val="nil"/>
          <w:left w:val="nil"/>
          <w:bottom w:val="nil"/>
          <w:right w:val="nil"/>
          <w:insideH w:val="nil"/>
          <w:insideV w:val="nil"/>
        </w:tcBorders>
        <w:shd w:val="clear" w:color="auto" w:fill="365f91"/>
      </w:tcPr>
    </w:tblStylePr>
    <w:tblStylePr w:type="firstCol">
      <w:pPr/>
      <w:tblPr/>
      <w:tcPr>
        <w:tcBorders>
          <w:top w:val="nil"/>
          <w:left w:val="nil"/>
          <w:bottom w:val="nil"/>
          <w:right w:val="single" w:sz="18" w:space="0" w:color="ffffff"/>
          <w:insideH w:val="nil"/>
          <w:insideV w:val="nil"/>
        </w:tcBorders>
        <w:shd w:val="clear" w:color="auto" w:fill="365f91"/>
      </w:tcPr>
    </w:tblStylePr>
    <w:tblStylePr w:type="lastCol">
      <w:pPr/>
      <w:tblPr/>
      <w:tcPr>
        <w:tcBorders>
          <w:top w:val="nil"/>
          <w:left w:val="single" w:sz="18" w:space="0" w:color="ffffff"/>
          <w:bottom w:val="nil"/>
          <w:right w:val="nil"/>
          <w:insideH w:val="nil"/>
          <w:insideV w:val="nil"/>
        </w:tcBorders>
        <w:shd w:val="clear" w:color="auto" w:fill="365f91"/>
      </w:tcPr>
    </w:tblStylePr>
    <w:tblStylePr w:type="band1Vert">
      <w:pPr/>
      <w:tblPr/>
      <w:tcPr>
        <w:tcBorders>
          <w:top w:val="nil"/>
          <w:left w:val="nil"/>
          <w:bottom w:val="nil"/>
          <w:right w:val="nil"/>
          <w:insideH w:val="nil"/>
          <w:insideV w:val="nil"/>
        </w:tcBorders>
        <w:shd w:val="clear" w:color="auto" w:fill="365f91"/>
      </w:tcPr>
    </w:tblStylePr>
    <w:tcPr>
      <w:tcBorders/>
      <w:shd w:val="clear" w:color="auto" w:fill="4f81bd"/>
    </w:tcPr>
  </w:style>
  <w:style w:type="table" w:styleId="style200">
    <w:name w:val="Dark List Accent 2"/>
    <w:basedOn w:val="style105"/>
    <w:next w:val="style200"/>
    <w:uiPriority w:val="70"/>
    <w:pPr>
      <w:spacing w:after="0" w:lineRule="auto" w:line="240"/>
    </w:pPr>
    <w:rPr>
      <w:color w:val="ffffff"/>
    </w:rPr>
    <w:tblPr>
      <w:tblStyleRowBandSize w:val="1"/>
      <w:tblStyleColBandSize w:val="1"/>
      <w:tblInd w:w="0" w:type="dxa"/>
      <w:shd w:val="clear" w:color="auto" w:fill="c0504d"/>
      <w:tblCellMar>
        <w:top w:w="0" w:type="dxa"/>
        <w:left w:w="108" w:type="dxa"/>
        <w:bottom w:w="0" w:type="dxa"/>
        <w:right w:w="108" w:type="dxa"/>
      </w:tblCellMar>
    </w:tblPr>
    <w:tblStylePr w:type="firstRow">
      <w:pPr/>
      <w:rPr>
        <w:b/>
        <w:bCs/>
      </w:rPr>
      <w:tblPr/>
      <w:tcPr>
        <w:tcBorders>
          <w:top w:val="nil"/>
          <w:left w:val="nil"/>
          <w:bottom w:val="single" w:sz="18" w:space="0" w:color="ffffff"/>
          <w:right w:val="nil"/>
          <w:insideH w:val="nil"/>
          <w:insideV w:val="nil"/>
        </w:tcBorders>
        <w:shd w:val="clear" w:color="auto" w:fill="000000"/>
      </w:tcPr>
    </w:tblStylePr>
    <w:tblStylePr w:type="lastRow">
      <w:pPr/>
      <w:tblPr/>
      <w:tcPr>
        <w:tcBorders>
          <w:top w:val="single" w:sz="18" w:space="0" w:color="ffffff"/>
          <w:left w:val="nil"/>
          <w:bottom w:val="nil"/>
          <w:right w:val="nil"/>
          <w:insideH w:val="nil"/>
          <w:insideV w:val="nil"/>
        </w:tcBorders>
        <w:shd w:val="clear" w:color="auto" w:fill="622423"/>
      </w:tcPr>
    </w:tblStylePr>
    <w:tblStylePr w:type="band1Horz">
      <w:pPr/>
      <w:tblPr/>
      <w:tcPr>
        <w:tcBorders>
          <w:top w:val="nil"/>
          <w:left w:val="nil"/>
          <w:bottom w:val="nil"/>
          <w:right w:val="nil"/>
          <w:insideH w:val="nil"/>
          <w:insideV w:val="nil"/>
        </w:tcBorders>
        <w:shd w:val="clear" w:color="auto" w:fill="943634"/>
      </w:tcPr>
    </w:tblStylePr>
    <w:tblStylePr w:type="firstCol">
      <w:pPr/>
      <w:tblPr/>
      <w:tcPr>
        <w:tcBorders>
          <w:top w:val="nil"/>
          <w:left w:val="nil"/>
          <w:bottom w:val="nil"/>
          <w:right w:val="single" w:sz="18" w:space="0" w:color="ffffff"/>
          <w:insideH w:val="nil"/>
          <w:insideV w:val="nil"/>
        </w:tcBorders>
        <w:shd w:val="clear" w:color="auto" w:fill="943634"/>
      </w:tcPr>
    </w:tblStylePr>
    <w:tblStylePr w:type="lastCol">
      <w:pPr/>
      <w:tblPr/>
      <w:tcPr>
        <w:tcBorders>
          <w:top w:val="nil"/>
          <w:left w:val="single" w:sz="18" w:space="0" w:color="ffffff"/>
          <w:bottom w:val="nil"/>
          <w:right w:val="nil"/>
          <w:insideH w:val="nil"/>
          <w:insideV w:val="nil"/>
        </w:tcBorders>
        <w:shd w:val="clear" w:color="auto" w:fill="943634"/>
      </w:tcPr>
    </w:tblStylePr>
    <w:tblStylePr w:type="band1Vert">
      <w:pPr/>
      <w:tblPr/>
      <w:tcPr>
        <w:tcBorders>
          <w:top w:val="nil"/>
          <w:left w:val="nil"/>
          <w:bottom w:val="nil"/>
          <w:right w:val="nil"/>
          <w:insideH w:val="nil"/>
          <w:insideV w:val="nil"/>
        </w:tcBorders>
        <w:shd w:val="clear" w:color="auto" w:fill="943634"/>
      </w:tcPr>
    </w:tblStylePr>
    <w:tcPr>
      <w:tcBorders/>
      <w:shd w:val="clear" w:color="auto" w:fill="c0504d"/>
    </w:tcPr>
  </w:style>
  <w:style w:type="table" w:styleId="style214">
    <w:name w:val="Dark List Accent 3"/>
    <w:basedOn w:val="style105"/>
    <w:next w:val="style214"/>
    <w:uiPriority w:val="70"/>
    <w:pPr>
      <w:spacing w:after="0" w:lineRule="auto" w:line="240"/>
    </w:pPr>
    <w:rPr>
      <w:color w:val="ffffff"/>
    </w:rPr>
    <w:tblPr>
      <w:tblStyleRowBandSize w:val="1"/>
      <w:tblStyleColBandSize w:val="1"/>
      <w:tblInd w:w="0" w:type="dxa"/>
      <w:shd w:val="clear" w:color="auto" w:fill="9bbb59"/>
      <w:tblCellMar>
        <w:top w:w="0" w:type="dxa"/>
        <w:left w:w="108" w:type="dxa"/>
        <w:bottom w:w="0" w:type="dxa"/>
        <w:right w:w="108" w:type="dxa"/>
      </w:tblCellMar>
    </w:tblPr>
    <w:tblStylePr w:type="firstRow">
      <w:pPr/>
      <w:rPr>
        <w:b/>
        <w:bCs/>
      </w:rPr>
      <w:tblPr/>
      <w:tcPr>
        <w:tcBorders>
          <w:top w:val="nil"/>
          <w:left w:val="nil"/>
          <w:bottom w:val="single" w:sz="18" w:space="0" w:color="ffffff"/>
          <w:right w:val="nil"/>
          <w:insideH w:val="nil"/>
          <w:insideV w:val="nil"/>
        </w:tcBorders>
        <w:shd w:val="clear" w:color="auto" w:fill="000000"/>
      </w:tcPr>
    </w:tblStylePr>
    <w:tblStylePr w:type="lastRow">
      <w:pPr/>
      <w:tblPr/>
      <w:tcPr>
        <w:tcBorders>
          <w:top w:val="single" w:sz="18" w:space="0" w:color="ffffff"/>
          <w:left w:val="nil"/>
          <w:bottom w:val="nil"/>
          <w:right w:val="nil"/>
          <w:insideH w:val="nil"/>
          <w:insideV w:val="nil"/>
        </w:tcBorders>
        <w:shd w:val="clear" w:color="auto" w:fill="4e6128"/>
      </w:tcPr>
    </w:tblStylePr>
    <w:tblStylePr w:type="band1Horz">
      <w:pPr/>
      <w:tblPr/>
      <w:tcPr>
        <w:tcBorders>
          <w:top w:val="nil"/>
          <w:left w:val="nil"/>
          <w:bottom w:val="nil"/>
          <w:right w:val="nil"/>
          <w:insideH w:val="nil"/>
          <w:insideV w:val="nil"/>
        </w:tcBorders>
        <w:shd w:val="clear" w:color="auto" w:fill="76923c"/>
      </w:tcPr>
    </w:tblStylePr>
    <w:tblStylePr w:type="firstCol">
      <w:pPr/>
      <w:tblPr/>
      <w:tcPr>
        <w:tcBorders>
          <w:top w:val="nil"/>
          <w:left w:val="nil"/>
          <w:bottom w:val="nil"/>
          <w:right w:val="single" w:sz="18" w:space="0" w:color="ffffff"/>
          <w:insideH w:val="nil"/>
          <w:insideV w:val="nil"/>
        </w:tcBorders>
        <w:shd w:val="clear" w:color="auto" w:fill="76923c"/>
      </w:tcPr>
    </w:tblStylePr>
    <w:tblStylePr w:type="lastCol">
      <w:pPr/>
      <w:tblPr/>
      <w:tcPr>
        <w:tcBorders>
          <w:top w:val="nil"/>
          <w:left w:val="single" w:sz="18" w:space="0" w:color="ffffff"/>
          <w:bottom w:val="nil"/>
          <w:right w:val="nil"/>
          <w:insideH w:val="nil"/>
          <w:insideV w:val="nil"/>
        </w:tcBorders>
        <w:shd w:val="clear" w:color="auto" w:fill="76923c"/>
      </w:tcPr>
    </w:tblStylePr>
    <w:tblStylePr w:type="band1Vert">
      <w:pPr/>
      <w:tblPr/>
      <w:tcPr>
        <w:tcBorders>
          <w:top w:val="nil"/>
          <w:left w:val="nil"/>
          <w:bottom w:val="nil"/>
          <w:right w:val="nil"/>
          <w:insideH w:val="nil"/>
          <w:insideV w:val="nil"/>
        </w:tcBorders>
        <w:shd w:val="clear" w:color="auto" w:fill="76923c"/>
      </w:tcPr>
    </w:tblStylePr>
    <w:tcPr>
      <w:tcBorders/>
      <w:shd w:val="clear" w:color="auto" w:fill="9bbb59"/>
    </w:tcPr>
  </w:style>
  <w:style w:type="table" w:styleId="style228">
    <w:name w:val="Dark List Accent 4"/>
    <w:basedOn w:val="style105"/>
    <w:next w:val="style228"/>
    <w:uiPriority w:val="70"/>
    <w:pPr>
      <w:spacing w:after="0" w:lineRule="auto" w:line="240"/>
    </w:pPr>
    <w:rPr>
      <w:color w:val="ffffff"/>
    </w:rPr>
    <w:tblPr>
      <w:tblStyleRowBandSize w:val="1"/>
      <w:tblStyleColBandSize w:val="1"/>
      <w:tblInd w:w="0" w:type="dxa"/>
      <w:shd w:val="clear" w:color="auto" w:fill="8064a2"/>
      <w:tblCellMar>
        <w:top w:w="0" w:type="dxa"/>
        <w:left w:w="108" w:type="dxa"/>
        <w:bottom w:w="0" w:type="dxa"/>
        <w:right w:w="108" w:type="dxa"/>
      </w:tblCellMar>
    </w:tblPr>
    <w:tblStylePr w:type="firstRow">
      <w:pPr/>
      <w:rPr>
        <w:b/>
        <w:bCs/>
      </w:rPr>
      <w:tblPr/>
      <w:tcPr>
        <w:tcBorders>
          <w:top w:val="nil"/>
          <w:left w:val="nil"/>
          <w:bottom w:val="single" w:sz="18" w:space="0" w:color="ffffff"/>
          <w:right w:val="nil"/>
          <w:insideH w:val="nil"/>
          <w:insideV w:val="nil"/>
        </w:tcBorders>
        <w:shd w:val="clear" w:color="auto" w:fill="000000"/>
      </w:tcPr>
    </w:tblStylePr>
    <w:tblStylePr w:type="lastRow">
      <w:pPr/>
      <w:tblPr/>
      <w:tcPr>
        <w:tcBorders>
          <w:top w:val="single" w:sz="18" w:space="0" w:color="ffffff"/>
          <w:left w:val="nil"/>
          <w:bottom w:val="nil"/>
          <w:right w:val="nil"/>
          <w:insideH w:val="nil"/>
          <w:insideV w:val="nil"/>
        </w:tcBorders>
        <w:shd w:val="clear" w:color="auto" w:fill="3f3151"/>
      </w:tcPr>
    </w:tblStylePr>
    <w:tblStylePr w:type="band1Horz">
      <w:pPr/>
      <w:tblPr/>
      <w:tcPr>
        <w:tcBorders>
          <w:top w:val="nil"/>
          <w:left w:val="nil"/>
          <w:bottom w:val="nil"/>
          <w:right w:val="nil"/>
          <w:insideH w:val="nil"/>
          <w:insideV w:val="nil"/>
        </w:tcBorders>
        <w:shd w:val="clear" w:color="auto" w:fill="5f497a"/>
      </w:tcPr>
    </w:tblStylePr>
    <w:tblStylePr w:type="firstCol">
      <w:pPr/>
      <w:tblPr/>
      <w:tcPr>
        <w:tcBorders>
          <w:top w:val="nil"/>
          <w:left w:val="nil"/>
          <w:bottom w:val="nil"/>
          <w:right w:val="single" w:sz="18" w:space="0" w:color="ffffff"/>
          <w:insideH w:val="nil"/>
          <w:insideV w:val="nil"/>
        </w:tcBorders>
        <w:shd w:val="clear" w:color="auto" w:fill="5f497a"/>
      </w:tcPr>
    </w:tblStylePr>
    <w:tblStylePr w:type="lastCol">
      <w:pPr/>
      <w:tblPr/>
      <w:tcPr>
        <w:tcBorders>
          <w:top w:val="nil"/>
          <w:left w:val="single" w:sz="18" w:space="0" w:color="ffffff"/>
          <w:bottom w:val="nil"/>
          <w:right w:val="nil"/>
          <w:insideH w:val="nil"/>
          <w:insideV w:val="nil"/>
        </w:tcBorders>
        <w:shd w:val="clear" w:color="auto" w:fill="5f497a"/>
      </w:tcPr>
    </w:tblStylePr>
    <w:tblStylePr w:type="band1Vert">
      <w:pPr/>
      <w:tblPr/>
      <w:tcPr>
        <w:tcBorders>
          <w:top w:val="nil"/>
          <w:left w:val="nil"/>
          <w:bottom w:val="nil"/>
          <w:right w:val="nil"/>
          <w:insideH w:val="nil"/>
          <w:insideV w:val="nil"/>
        </w:tcBorders>
        <w:shd w:val="clear" w:color="auto" w:fill="5f497a"/>
      </w:tcPr>
    </w:tblStylePr>
    <w:tcPr>
      <w:tcBorders/>
      <w:shd w:val="clear" w:color="auto" w:fill="8064a2"/>
    </w:tcPr>
  </w:style>
  <w:style w:type="table" w:styleId="style242">
    <w:name w:val="Dark List Accent 5"/>
    <w:basedOn w:val="style105"/>
    <w:next w:val="style242"/>
    <w:uiPriority w:val="70"/>
    <w:pPr>
      <w:spacing w:after="0" w:lineRule="auto" w:line="240"/>
    </w:pPr>
    <w:rPr>
      <w:color w:val="ffffff"/>
    </w:rPr>
    <w:tblPr>
      <w:tblStyleRowBandSize w:val="1"/>
      <w:tblStyleColBandSize w:val="1"/>
      <w:tblInd w:w="0" w:type="dxa"/>
      <w:shd w:val="clear" w:color="auto" w:fill="4bacc6"/>
      <w:tblCellMar>
        <w:top w:w="0" w:type="dxa"/>
        <w:left w:w="108" w:type="dxa"/>
        <w:bottom w:w="0" w:type="dxa"/>
        <w:right w:w="108" w:type="dxa"/>
      </w:tblCellMar>
    </w:tblPr>
    <w:tblStylePr w:type="firstRow">
      <w:pPr/>
      <w:rPr>
        <w:b/>
        <w:bCs/>
      </w:rPr>
      <w:tblPr/>
      <w:tcPr>
        <w:tcBorders>
          <w:top w:val="nil"/>
          <w:left w:val="nil"/>
          <w:bottom w:val="single" w:sz="18" w:space="0" w:color="ffffff"/>
          <w:right w:val="nil"/>
          <w:insideH w:val="nil"/>
          <w:insideV w:val="nil"/>
        </w:tcBorders>
        <w:shd w:val="clear" w:color="auto" w:fill="000000"/>
      </w:tcPr>
    </w:tblStylePr>
    <w:tblStylePr w:type="lastRow">
      <w:pPr/>
      <w:tblPr/>
      <w:tcPr>
        <w:tcBorders>
          <w:top w:val="single" w:sz="18" w:space="0" w:color="ffffff"/>
          <w:left w:val="nil"/>
          <w:bottom w:val="nil"/>
          <w:right w:val="nil"/>
          <w:insideH w:val="nil"/>
          <w:insideV w:val="nil"/>
        </w:tcBorders>
        <w:shd w:val="clear" w:color="auto" w:fill="205867"/>
      </w:tcPr>
    </w:tblStylePr>
    <w:tblStylePr w:type="band1Horz">
      <w:pPr/>
      <w:tblPr/>
      <w:tcPr>
        <w:tcBorders>
          <w:top w:val="nil"/>
          <w:left w:val="nil"/>
          <w:bottom w:val="nil"/>
          <w:right w:val="nil"/>
          <w:insideH w:val="nil"/>
          <w:insideV w:val="nil"/>
        </w:tcBorders>
        <w:shd w:val="clear" w:color="auto" w:fill="31849b"/>
      </w:tcPr>
    </w:tblStylePr>
    <w:tblStylePr w:type="firstCol">
      <w:pPr/>
      <w:tblPr/>
      <w:tcPr>
        <w:tcBorders>
          <w:top w:val="nil"/>
          <w:left w:val="nil"/>
          <w:bottom w:val="nil"/>
          <w:right w:val="single" w:sz="18" w:space="0" w:color="ffffff"/>
          <w:insideH w:val="nil"/>
          <w:insideV w:val="nil"/>
        </w:tcBorders>
        <w:shd w:val="clear" w:color="auto" w:fill="31849b"/>
      </w:tcPr>
    </w:tblStylePr>
    <w:tblStylePr w:type="lastCol">
      <w:pPr/>
      <w:tblPr/>
      <w:tcPr>
        <w:tcBorders>
          <w:top w:val="nil"/>
          <w:left w:val="single" w:sz="18" w:space="0" w:color="ffffff"/>
          <w:bottom w:val="nil"/>
          <w:right w:val="nil"/>
          <w:insideH w:val="nil"/>
          <w:insideV w:val="nil"/>
        </w:tcBorders>
        <w:shd w:val="clear" w:color="auto" w:fill="31849b"/>
      </w:tcPr>
    </w:tblStylePr>
    <w:tblStylePr w:type="band1Vert">
      <w:pPr/>
      <w:tblPr/>
      <w:tcPr>
        <w:tcBorders>
          <w:top w:val="nil"/>
          <w:left w:val="nil"/>
          <w:bottom w:val="nil"/>
          <w:right w:val="nil"/>
          <w:insideH w:val="nil"/>
          <w:insideV w:val="nil"/>
        </w:tcBorders>
        <w:shd w:val="clear" w:color="auto" w:fill="31849b"/>
      </w:tcPr>
    </w:tblStylePr>
    <w:tcPr>
      <w:tcBorders/>
      <w:shd w:val="clear" w:color="auto" w:fill="4bacc6"/>
    </w:tcPr>
  </w:style>
  <w:style w:type="table" w:styleId="style256">
    <w:name w:val="Dark List Accent 6"/>
    <w:basedOn w:val="style105"/>
    <w:next w:val="style256"/>
    <w:uiPriority w:val="70"/>
    <w:pPr>
      <w:spacing w:after="0" w:lineRule="auto" w:line="240"/>
    </w:pPr>
    <w:rPr>
      <w:color w:val="ffffff"/>
    </w:rPr>
    <w:tblPr>
      <w:tblStyleRowBandSize w:val="1"/>
      <w:tblStyleColBandSize w:val="1"/>
      <w:tblInd w:w="0" w:type="dxa"/>
      <w:shd w:val="clear" w:color="auto" w:fill="f79646"/>
      <w:tblCellMar>
        <w:top w:w="0" w:type="dxa"/>
        <w:left w:w="108" w:type="dxa"/>
        <w:bottom w:w="0" w:type="dxa"/>
        <w:right w:w="108" w:type="dxa"/>
      </w:tblCellMar>
    </w:tblPr>
    <w:tblStylePr w:type="firstRow">
      <w:pPr/>
      <w:rPr>
        <w:b/>
        <w:bCs/>
      </w:rPr>
      <w:tblPr/>
      <w:tcPr>
        <w:tcBorders>
          <w:top w:val="nil"/>
          <w:left w:val="nil"/>
          <w:bottom w:val="single" w:sz="18" w:space="0" w:color="ffffff"/>
          <w:right w:val="nil"/>
          <w:insideH w:val="nil"/>
          <w:insideV w:val="nil"/>
        </w:tcBorders>
        <w:shd w:val="clear" w:color="auto" w:fill="000000"/>
      </w:tcPr>
    </w:tblStylePr>
    <w:tblStylePr w:type="lastRow">
      <w:pPr/>
      <w:tblPr/>
      <w:tcPr>
        <w:tcBorders>
          <w:top w:val="single" w:sz="18" w:space="0" w:color="ffffff"/>
          <w:left w:val="nil"/>
          <w:bottom w:val="nil"/>
          <w:right w:val="nil"/>
          <w:insideH w:val="nil"/>
          <w:insideV w:val="nil"/>
        </w:tcBorders>
        <w:shd w:val="clear" w:color="auto" w:fill="974706"/>
      </w:tcPr>
    </w:tblStylePr>
    <w:tblStylePr w:type="band1Horz">
      <w:pPr/>
      <w:tblPr/>
      <w:tcPr>
        <w:tcBorders>
          <w:top w:val="nil"/>
          <w:left w:val="nil"/>
          <w:bottom w:val="nil"/>
          <w:right w:val="nil"/>
          <w:insideH w:val="nil"/>
          <w:insideV w:val="nil"/>
        </w:tcBorders>
        <w:shd w:val="clear" w:color="auto" w:fill="e36c0a"/>
      </w:tcPr>
    </w:tblStylePr>
    <w:tblStylePr w:type="firstCol">
      <w:pPr/>
      <w:tblPr/>
      <w:tcPr>
        <w:tcBorders>
          <w:top w:val="nil"/>
          <w:left w:val="nil"/>
          <w:bottom w:val="nil"/>
          <w:right w:val="single" w:sz="18" w:space="0" w:color="ffffff"/>
          <w:insideH w:val="nil"/>
          <w:insideV w:val="nil"/>
        </w:tcBorders>
        <w:shd w:val="clear" w:color="auto" w:fill="e36c0a"/>
      </w:tcPr>
    </w:tblStylePr>
    <w:tblStylePr w:type="lastCol">
      <w:pPr/>
      <w:tblPr/>
      <w:tcPr>
        <w:tcBorders>
          <w:top w:val="nil"/>
          <w:left w:val="single" w:sz="18" w:space="0" w:color="ffffff"/>
          <w:bottom w:val="nil"/>
          <w:right w:val="nil"/>
          <w:insideH w:val="nil"/>
          <w:insideV w:val="nil"/>
        </w:tcBorders>
        <w:shd w:val="clear" w:color="auto" w:fill="e36c0a"/>
      </w:tcPr>
    </w:tblStylePr>
    <w:tblStylePr w:type="band1Vert">
      <w:pPr/>
      <w:tblPr/>
      <w:tcPr>
        <w:tcBorders>
          <w:top w:val="nil"/>
          <w:left w:val="nil"/>
          <w:bottom w:val="nil"/>
          <w:right w:val="nil"/>
          <w:insideH w:val="nil"/>
          <w:insideV w:val="nil"/>
        </w:tcBorders>
        <w:shd w:val="clear" w:color="auto" w:fill="e36c0a"/>
      </w:tcPr>
    </w:tblStylePr>
    <w:tcPr>
      <w:tcBorders/>
      <w:shd w:val="clear" w:color="auto" w:fill="f79646"/>
    </w:tcPr>
  </w:style>
  <w:style w:type="table" w:styleId="style169">
    <w:name w:val="Colorful Shading"/>
    <w:basedOn w:val="style105"/>
    <w:next w:val="style169"/>
    <w:uiPriority w:val="71"/>
    <w:pPr>
      <w:spacing w:after="0" w:lineRule="auto" w:line="240"/>
    </w:pPr>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shd w:val="clear" w:color="auto" w:fill="e6e6e6"/>
      <w:tblCellMar>
        <w:top w:w="0" w:type="dxa"/>
        <w:left w:w="108" w:type="dxa"/>
        <w:bottom w:w="0" w:type="dxa"/>
        <w:right w:w="108" w:type="dxa"/>
      </w:tblCellMar>
    </w:tblPr>
    <w:tblStylePr w:type="firstRow">
      <w:pPr/>
      <w:rPr>
        <w:b/>
        <w:bCs/>
      </w:rPr>
      <w:tblPr/>
      <w:tcPr>
        <w:tcBorders>
          <w:top w:val="nil"/>
          <w:left w:val="nil"/>
          <w:bottom w:val="single" w:sz="24" w:space="0" w:color="c0504d"/>
          <w:right w:val="nil"/>
          <w:insideH w:val="nil"/>
          <w:insideV w:val="nil"/>
        </w:tcBorders>
        <w:shd w:val="clear" w:color="auto" w:fill="ffffff"/>
      </w:tcPr>
    </w:tblStylePr>
    <w:tblStylePr w:type="lastRow">
      <w:pPr/>
      <w:rPr>
        <w:b/>
        <w:bCs/>
        <w:color w:val="ffffff"/>
      </w:rPr>
      <w:tblPr/>
      <w:tcPr>
        <w:tcBorders>
          <w:top w:val="single" w:sz="6" w:space="0" w:color="ffffff"/>
        </w:tcBorders>
        <w:shd w:val="clear" w:color="auto" w:fill="000000"/>
      </w:tcPr>
    </w:tblStylePr>
    <w:tblStylePr w:type="band1Horz">
      <w:pPr/>
      <w:tblPr/>
      <w:tcPr>
        <w:tcBorders/>
        <w:shd w:val="clear" w:color="auto" w:fill="808080"/>
      </w:tcPr>
    </w:tblStylePr>
    <w:tblStylePr w:type="firstCol">
      <w:pPr/>
      <w:rPr>
        <w:color w:val="ffffff"/>
      </w:rPr>
      <w:tblPr/>
      <w:tcPr>
        <w:tcBorders>
          <w:top w:val="nil"/>
          <w:left w:val="nil"/>
          <w:bottom w:val="nil"/>
          <w:right w:val="nil"/>
          <w:insideH w:val="single" w:sz="4" w:space="0" w:color="000000"/>
          <w:insideV w:val="nil"/>
        </w:tcBorders>
        <w:shd w:val="clear" w:color="auto" w:fill="000000"/>
      </w:tcPr>
    </w:tblStylePr>
    <w:tblStylePr w:type="lastCol">
      <w:pPr/>
      <w:rPr>
        <w:color w:val="ffffff"/>
      </w:rPr>
      <w:tblPr/>
      <w:tcPr>
        <w:tcBorders>
          <w:top w:val="nil"/>
          <w:left w:val="nil"/>
          <w:bottom w:val="nil"/>
          <w:right w:val="nil"/>
          <w:insideH w:val="nil"/>
          <w:insideV w:val="nil"/>
        </w:tcBorders>
        <w:shd w:val="clear" w:color="auto" w:fill="000000"/>
      </w:tcPr>
    </w:tblStylePr>
    <w:tblStylePr w:type="band1Vert">
      <w:pPr/>
      <w:tblPr/>
      <w:tcPr>
        <w:tcBorders/>
        <w:shd w:val="clear" w:color="auto" w:fill="999999"/>
      </w:tcPr>
    </w:tblStylePr>
    <w:tblStylePr w:type="neCell">
      <w:pPr/>
      <w:rPr>
        <w:color w:val="000000"/>
      </w:rPr>
      <w:tcPr>
        <w:tcBorders/>
      </w:tcPr>
    </w:tblStylePr>
    <w:tblStylePr w:type="nwCell">
      <w:pPr/>
      <w:rPr>
        <w:color w:val="000000"/>
      </w:rPr>
      <w:tcPr>
        <w:tcBorders/>
      </w:tcPr>
    </w:tblStylePr>
    <w:tcPr>
      <w:tcBorders/>
      <w:shd w:val="clear" w:color="auto" w:fill="e6e6e6"/>
    </w:tcPr>
  </w:style>
  <w:style w:type="table" w:styleId="style187">
    <w:name w:val="Colorful Shading Accent 1"/>
    <w:basedOn w:val="style105"/>
    <w:next w:val="style187"/>
    <w:uiPriority w:val="71"/>
    <w:pPr>
      <w:spacing w:after="0" w:lineRule="auto" w:line="240"/>
    </w:pPr>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shd w:val="clear" w:color="auto" w:fill="edf2f8"/>
      <w:tblCellMar>
        <w:top w:w="0" w:type="dxa"/>
        <w:left w:w="108" w:type="dxa"/>
        <w:bottom w:w="0" w:type="dxa"/>
        <w:right w:w="108" w:type="dxa"/>
      </w:tblCellMar>
    </w:tblPr>
    <w:tblStylePr w:type="firstRow">
      <w:pPr/>
      <w:rPr>
        <w:b/>
        <w:bCs/>
      </w:rPr>
      <w:tblPr/>
      <w:tcPr>
        <w:tcBorders>
          <w:top w:val="nil"/>
          <w:left w:val="nil"/>
          <w:bottom w:val="single" w:sz="24" w:space="0" w:color="c0504d"/>
          <w:right w:val="nil"/>
          <w:insideH w:val="nil"/>
          <w:insideV w:val="nil"/>
        </w:tcBorders>
        <w:shd w:val="clear" w:color="auto" w:fill="ffffff"/>
      </w:tcPr>
    </w:tblStylePr>
    <w:tblStylePr w:type="lastRow">
      <w:pPr/>
      <w:rPr>
        <w:b/>
        <w:bCs/>
        <w:color w:val="ffffff"/>
      </w:rPr>
      <w:tblPr/>
      <w:tcPr>
        <w:tcBorders>
          <w:top w:val="single" w:sz="6" w:space="0" w:color="ffffff"/>
        </w:tcBorders>
        <w:shd w:val="clear" w:color="auto" w:fill="2c4c74"/>
      </w:tcPr>
    </w:tblStylePr>
    <w:tblStylePr w:type="band1Horz">
      <w:pPr/>
      <w:tblPr/>
      <w:tcPr>
        <w:tcBorders/>
        <w:shd w:val="clear" w:color="auto" w:fill="a7bfde"/>
      </w:tcPr>
    </w:tblStylePr>
    <w:tblStylePr w:type="firstCol">
      <w:pPr/>
      <w:rPr>
        <w:color w:val="ffffff"/>
      </w:rPr>
      <w:tblPr/>
      <w:tcPr>
        <w:tcBorders>
          <w:top w:val="nil"/>
          <w:left w:val="nil"/>
          <w:bottom w:val="nil"/>
          <w:right w:val="nil"/>
          <w:insideH w:val="single" w:sz="4" w:space="0" w:color="2c4c74"/>
          <w:insideV w:val="nil"/>
        </w:tcBorders>
        <w:shd w:val="clear" w:color="auto" w:fill="2c4c74"/>
      </w:tcPr>
    </w:tblStylePr>
    <w:tblStylePr w:type="lastCol">
      <w:pPr/>
      <w:rPr>
        <w:color w:val="ffffff"/>
      </w:rPr>
      <w:tblPr/>
      <w:tcPr>
        <w:tcBorders>
          <w:top w:val="nil"/>
          <w:left w:val="nil"/>
          <w:bottom w:val="nil"/>
          <w:right w:val="nil"/>
          <w:insideH w:val="nil"/>
          <w:insideV w:val="nil"/>
        </w:tcBorders>
        <w:shd w:val="clear" w:color="auto" w:fill="2c4c74"/>
      </w:tcPr>
    </w:tblStylePr>
    <w:tblStylePr w:type="band1Vert">
      <w:pPr/>
      <w:tblPr/>
      <w:tcPr>
        <w:tcBorders/>
        <w:shd w:val="clear" w:color="auto" w:fill="b8cce4"/>
      </w:tcPr>
    </w:tblStylePr>
    <w:tblStylePr w:type="neCell">
      <w:pPr/>
      <w:rPr>
        <w:color w:val="000000"/>
      </w:rPr>
      <w:tcPr>
        <w:tcBorders/>
      </w:tcPr>
    </w:tblStylePr>
    <w:tblStylePr w:type="nwCell">
      <w:pPr/>
      <w:rPr>
        <w:color w:val="000000"/>
      </w:rPr>
      <w:tcPr>
        <w:tcBorders/>
      </w:tcPr>
    </w:tblStylePr>
    <w:tcPr>
      <w:tcBorders/>
      <w:shd w:val="clear" w:color="auto" w:fill="edf2f8"/>
    </w:tcPr>
  </w:style>
  <w:style w:type="table" w:styleId="style201">
    <w:name w:val="Colorful Shading Accent 2"/>
    <w:basedOn w:val="style105"/>
    <w:next w:val="style201"/>
    <w:uiPriority w:val="71"/>
    <w:pPr>
      <w:spacing w:after="0" w:lineRule="auto" w:line="240"/>
    </w:pPr>
    <w:rPr>
      <w:color w:val="00000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shd w:val="clear" w:color="auto" w:fill="f8eded"/>
      <w:tblCellMar>
        <w:top w:w="0" w:type="dxa"/>
        <w:left w:w="108" w:type="dxa"/>
        <w:bottom w:w="0" w:type="dxa"/>
        <w:right w:w="108" w:type="dxa"/>
      </w:tblCellMar>
    </w:tblPr>
    <w:tblStylePr w:type="firstRow">
      <w:pPr/>
      <w:rPr>
        <w:b/>
        <w:bCs/>
      </w:rPr>
      <w:tblPr/>
      <w:tcPr>
        <w:tcBorders>
          <w:top w:val="nil"/>
          <w:left w:val="nil"/>
          <w:bottom w:val="single" w:sz="24" w:space="0" w:color="c0504d"/>
          <w:right w:val="nil"/>
          <w:insideH w:val="nil"/>
          <w:insideV w:val="nil"/>
        </w:tcBorders>
        <w:shd w:val="clear" w:color="auto" w:fill="ffffff"/>
      </w:tcPr>
    </w:tblStylePr>
    <w:tblStylePr w:type="lastRow">
      <w:pPr/>
      <w:rPr>
        <w:b/>
        <w:bCs/>
        <w:color w:val="ffffff"/>
      </w:rPr>
      <w:tblPr/>
      <w:tcPr>
        <w:tcBorders>
          <w:top w:val="single" w:sz="6" w:space="0" w:color="ffffff"/>
        </w:tcBorders>
        <w:shd w:val="clear" w:color="auto" w:fill="772c2a"/>
      </w:tcPr>
    </w:tblStylePr>
    <w:tblStylePr w:type="band1Horz">
      <w:pPr/>
      <w:tblPr/>
      <w:tcPr>
        <w:tcBorders/>
        <w:shd w:val="clear" w:color="auto" w:fill="dfa7a6"/>
      </w:tcPr>
    </w:tblStylePr>
    <w:tblStylePr w:type="firstCol">
      <w:pPr/>
      <w:rPr>
        <w:color w:val="ffffff"/>
      </w:rPr>
      <w:tblPr/>
      <w:tcPr>
        <w:tcBorders>
          <w:top w:val="nil"/>
          <w:left w:val="nil"/>
          <w:bottom w:val="nil"/>
          <w:right w:val="nil"/>
          <w:insideH w:val="single" w:sz="4" w:space="0" w:color="772c2a"/>
          <w:insideV w:val="nil"/>
        </w:tcBorders>
        <w:shd w:val="clear" w:color="auto" w:fill="772c2a"/>
      </w:tcPr>
    </w:tblStylePr>
    <w:tblStylePr w:type="lastCol">
      <w:pPr/>
      <w:rPr>
        <w:color w:val="ffffff"/>
      </w:rPr>
      <w:tblPr/>
      <w:tcPr>
        <w:tcBorders>
          <w:top w:val="nil"/>
          <w:left w:val="nil"/>
          <w:bottom w:val="nil"/>
          <w:right w:val="nil"/>
          <w:insideH w:val="nil"/>
          <w:insideV w:val="nil"/>
        </w:tcBorders>
        <w:shd w:val="clear" w:color="auto" w:fill="772c2a"/>
      </w:tcPr>
    </w:tblStylePr>
    <w:tblStylePr w:type="band1Vert">
      <w:pPr/>
      <w:tblPr/>
      <w:tcPr>
        <w:tcBorders/>
        <w:shd w:val="clear" w:color="auto" w:fill="e5b8b7"/>
      </w:tcPr>
    </w:tblStylePr>
    <w:tblStylePr w:type="neCell">
      <w:pPr/>
      <w:rPr>
        <w:color w:val="000000"/>
      </w:rPr>
      <w:tcPr>
        <w:tcBorders/>
      </w:tcPr>
    </w:tblStylePr>
    <w:tblStylePr w:type="nwCell">
      <w:pPr/>
      <w:rPr>
        <w:color w:val="000000"/>
      </w:rPr>
      <w:tcPr>
        <w:tcBorders/>
      </w:tcPr>
    </w:tblStylePr>
    <w:tcPr>
      <w:tcBorders/>
      <w:shd w:val="clear" w:color="auto" w:fill="f8eded"/>
    </w:tcPr>
  </w:style>
  <w:style w:type="table" w:styleId="style215">
    <w:name w:val="Colorful Shading Accent 3"/>
    <w:basedOn w:val="style105"/>
    <w:next w:val="style215"/>
    <w:uiPriority w:val="71"/>
    <w:pPr>
      <w:spacing w:after="0" w:lineRule="auto" w:line="240"/>
    </w:pPr>
    <w:rPr>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shd w:val="clear" w:color="auto" w:fill="f5f8ee"/>
      <w:tblCellMar>
        <w:top w:w="0" w:type="dxa"/>
        <w:left w:w="108" w:type="dxa"/>
        <w:bottom w:w="0" w:type="dxa"/>
        <w:right w:w="108" w:type="dxa"/>
      </w:tblCellMar>
    </w:tblPr>
    <w:tblStylePr w:type="firstRow">
      <w:pPr/>
      <w:rPr>
        <w:b/>
        <w:bCs/>
      </w:rPr>
      <w:tblPr/>
      <w:tcPr>
        <w:tcBorders>
          <w:top w:val="nil"/>
          <w:left w:val="nil"/>
          <w:bottom w:val="single" w:sz="24" w:space="0" w:color="8064a2"/>
          <w:right w:val="nil"/>
          <w:insideH w:val="nil"/>
          <w:insideV w:val="nil"/>
        </w:tcBorders>
        <w:shd w:val="clear" w:color="auto" w:fill="ffffff"/>
      </w:tcPr>
    </w:tblStylePr>
    <w:tblStylePr w:type="lastRow">
      <w:pPr/>
      <w:rPr>
        <w:b/>
        <w:bCs/>
        <w:color w:val="ffffff"/>
      </w:rPr>
      <w:tblPr/>
      <w:tcPr>
        <w:tcBorders>
          <w:top w:val="single" w:sz="6" w:space="0" w:color="ffffff"/>
        </w:tcBorders>
        <w:shd w:val="clear" w:color="auto" w:fill="5e7530"/>
      </w:tcPr>
    </w:tblStylePr>
    <w:tblStylePr w:type="band1Horz">
      <w:pPr/>
      <w:tblPr/>
      <w:tcPr>
        <w:tcBorders/>
        <w:shd w:val="clear" w:color="auto" w:fill="cdddac"/>
      </w:tcPr>
    </w:tblStylePr>
    <w:tblStylePr w:type="firstCol">
      <w:pPr/>
      <w:rPr>
        <w:color w:val="ffffff"/>
      </w:rPr>
      <w:tblPr/>
      <w:tcPr>
        <w:tcBorders>
          <w:top w:val="nil"/>
          <w:left w:val="nil"/>
          <w:bottom w:val="nil"/>
          <w:right w:val="nil"/>
          <w:insideH w:val="single" w:sz="4" w:space="0" w:color="5e7530"/>
          <w:insideV w:val="nil"/>
        </w:tcBorders>
        <w:shd w:val="clear" w:color="auto" w:fill="5e7530"/>
      </w:tcPr>
    </w:tblStylePr>
    <w:tblStylePr w:type="lastCol">
      <w:pPr/>
      <w:rPr>
        <w:color w:val="ffffff"/>
      </w:rPr>
      <w:tblPr/>
      <w:tcPr>
        <w:tcBorders>
          <w:top w:val="nil"/>
          <w:left w:val="nil"/>
          <w:bottom w:val="nil"/>
          <w:right w:val="nil"/>
          <w:insideH w:val="nil"/>
          <w:insideV w:val="nil"/>
        </w:tcBorders>
        <w:shd w:val="clear" w:color="auto" w:fill="5e7530"/>
      </w:tcPr>
    </w:tblStylePr>
    <w:tblStylePr w:type="band1Vert">
      <w:pPr/>
      <w:tblPr/>
      <w:tcPr>
        <w:tcBorders/>
        <w:shd w:val="clear" w:color="auto" w:fill="d6e3bc"/>
      </w:tcPr>
    </w:tblStylePr>
    <w:tcPr>
      <w:tcBorders/>
      <w:shd w:val="clear" w:color="auto" w:fill="f5f8ee"/>
    </w:tcPr>
  </w:style>
  <w:style w:type="table" w:styleId="style229">
    <w:name w:val="Colorful Shading Accent 4"/>
    <w:basedOn w:val="style105"/>
    <w:next w:val="style229"/>
    <w:uiPriority w:val="71"/>
    <w:pPr>
      <w:spacing w:after="0" w:lineRule="auto" w:line="240"/>
    </w:pPr>
    <w:rPr>
      <w:color w:val="00000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shd w:val="clear" w:color="auto" w:fill="f2eff6"/>
      <w:tblCellMar>
        <w:top w:w="0" w:type="dxa"/>
        <w:left w:w="108" w:type="dxa"/>
        <w:bottom w:w="0" w:type="dxa"/>
        <w:right w:w="108" w:type="dxa"/>
      </w:tblCellMar>
    </w:tblPr>
    <w:tblStylePr w:type="firstRow">
      <w:pPr/>
      <w:rPr>
        <w:b/>
        <w:bCs/>
      </w:rPr>
      <w:tblPr/>
      <w:tcPr>
        <w:tcBorders>
          <w:top w:val="nil"/>
          <w:left w:val="nil"/>
          <w:bottom w:val="single" w:sz="24" w:space="0" w:color="9bbb59"/>
          <w:right w:val="nil"/>
          <w:insideH w:val="nil"/>
          <w:insideV w:val="nil"/>
        </w:tcBorders>
        <w:shd w:val="clear" w:color="auto" w:fill="ffffff"/>
      </w:tcPr>
    </w:tblStylePr>
    <w:tblStylePr w:type="lastRow">
      <w:pPr/>
      <w:rPr>
        <w:b/>
        <w:bCs/>
        <w:color w:val="ffffff"/>
      </w:rPr>
      <w:tblPr/>
      <w:tcPr>
        <w:tcBorders>
          <w:top w:val="single" w:sz="6" w:space="0" w:color="ffffff"/>
        </w:tcBorders>
        <w:shd w:val="clear" w:color="auto" w:fill="4c3b62"/>
      </w:tcPr>
    </w:tblStylePr>
    <w:tblStylePr w:type="band1Horz">
      <w:pPr/>
      <w:tblPr/>
      <w:tcPr>
        <w:tcBorders/>
        <w:shd w:val="clear" w:color="auto" w:fill="bfb1d0"/>
      </w:tcPr>
    </w:tblStylePr>
    <w:tblStylePr w:type="firstCol">
      <w:pPr/>
      <w:rPr>
        <w:color w:val="ffffff"/>
      </w:rPr>
      <w:tblPr/>
      <w:tcPr>
        <w:tcBorders>
          <w:top w:val="nil"/>
          <w:left w:val="nil"/>
          <w:bottom w:val="nil"/>
          <w:right w:val="nil"/>
          <w:insideH w:val="single" w:sz="4" w:space="0" w:color="4c3b62"/>
          <w:insideV w:val="nil"/>
        </w:tcBorders>
        <w:shd w:val="clear" w:color="auto" w:fill="4c3b62"/>
      </w:tcPr>
    </w:tblStylePr>
    <w:tblStylePr w:type="lastCol">
      <w:pPr/>
      <w:rPr>
        <w:color w:val="ffffff"/>
      </w:rPr>
      <w:tblPr/>
      <w:tcPr>
        <w:tcBorders>
          <w:top w:val="nil"/>
          <w:left w:val="nil"/>
          <w:bottom w:val="nil"/>
          <w:right w:val="nil"/>
          <w:insideH w:val="nil"/>
          <w:insideV w:val="nil"/>
        </w:tcBorders>
        <w:shd w:val="clear" w:color="auto" w:fill="4c3b62"/>
      </w:tcPr>
    </w:tblStylePr>
    <w:tblStylePr w:type="band1Vert">
      <w:pPr/>
      <w:tblPr/>
      <w:tcPr>
        <w:tcBorders/>
        <w:shd w:val="clear" w:color="auto" w:fill="ccc0d9"/>
      </w:tcPr>
    </w:tblStylePr>
    <w:tblStylePr w:type="neCell">
      <w:pPr/>
      <w:rPr>
        <w:color w:val="000000"/>
      </w:rPr>
      <w:tcPr>
        <w:tcBorders/>
      </w:tcPr>
    </w:tblStylePr>
    <w:tblStylePr w:type="nwCell">
      <w:pPr/>
      <w:rPr>
        <w:color w:val="000000"/>
      </w:rPr>
      <w:tcPr>
        <w:tcBorders/>
      </w:tcPr>
    </w:tblStylePr>
    <w:tcPr>
      <w:tcBorders/>
      <w:shd w:val="clear" w:color="auto" w:fill="f2eff6"/>
    </w:tcPr>
  </w:style>
  <w:style w:type="table" w:styleId="style243">
    <w:name w:val="Colorful Shading Accent 5"/>
    <w:basedOn w:val="style105"/>
    <w:next w:val="style243"/>
    <w:uiPriority w:val="71"/>
    <w:pPr>
      <w:spacing w:after="0" w:lineRule="auto" w:line="240"/>
    </w:pPr>
    <w:rPr>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shd w:val="clear" w:color="auto" w:fill="edf6f9"/>
      <w:tblCellMar>
        <w:top w:w="0" w:type="dxa"/>
        <w:left w:w="108" w:type="dxa"/>
        <w:bottom w:w="0" w:type="dxa"/>
        <w:right w:w="108" w:type="dxa"/>
      </w:tblCellMar>
    </w:tblPr>
    <w:tblStylePr w:type="firstRow">
      <w:pPr/>
      <w:rPr>
        <w:b/>
        <w:bCs/>
      </w:rPr>
      <w:tblPr/>
      <w:tcPr>
        <w:tcBorders>
          <w:top w:val="nil"/>
          <w:left w:val="nil"/>
          <w:bottom w:val="single" w:sz="24" w:space="0" w:color="f79646"/>
          <w:right w:val="nil"/>
          <w:insideH w:val="nil"/>
          <w:insideV w:val="nil"/>
        </w:tcBorders>
        <w:shd w:val="clear" w:color="auto" w:fill="ffffff"/>
      </w:tcPr>
    </w:tblStylePr>
    <w:tblStylePr w:type="lastRow">
      <w:pPr/>
      <w:rPr>
        <w:b/>
        <w:bCs/>
        <w:color w:val="ffffff"/>
      </w:rPr>
      <w:tblPr/>
      <w:tcPr>
        <w:tcBorders>
          <w:top w:val="single" w:sz="6" w:space="0" w:color="ffffff"/>
        </w:tcBorders>
        <w:shd w:val="clear" w:color="auto" w:fill="276a7c"/>
      </w:tcPr>
    </w:tblStylePr>
    <w:tblStylePr w:type="band1Horz">
      <w:pPr/>
      <w:tblPr/>
      <w:tcPr>
        <w:tcBorders/>
        <w:shd w:val="clear" w:color="auto" w:fill="a5d5e2"/>
      </w:tcPr>
    </w:tblStylePr>
    <w:tblStylePr w:type="firstCol">
      <w:pPr/>
      <w:rPr>
        <w:color w:val="ffffff"/>
      </w:rPr>
      <w:tblPr/>
      <w:tcPr>
        <w:tcBorders>
          <w:top w:val="nil"/>
          <w:left w:val="nil"/>
          <w:bottom w:val="nil"/>
          <w:right w:val="nil"/>
          <w:insideH w:val="single" w:sz="4" w:space="0" w:color="276a7c"/>
          <w:insideV w:val="nil"/>
        </w:tcBorders>
        <w:shd w:val="clear" w:color="auto" w:fill="276a7c"/>
      </w:tcPr>
    </w:tblStylePr>
    <w:tblStylePr w:type="lastCol">
      <w:pPr/>
      <w:rPr>
        <w:color w:val="ffffff"/>
      </w:rPr>
      <w:tblPr/>
      <w:tcPr>
        <w:tcBorders>
          <w:top w:val="nil"/>
          <w:left w:val="nil"/>
          <w:bottom w:val="nil"/>
          <w:right w:val="nil"/>
          <w:insideH w:val="nil"/>
          <w:insideV w:val="nil"/>
        </w:tcBorders>
        <w:shd w:val="clear" w:color="auto" w:fill="276a7c"/>
      </w:tcPr>
    </w:tblStylePr>
    <w:tblStylePr w:type="band1Vert">
      <w:pPr/>
      <w:tblPr/>
      <w:tcPr>
        <w:tcBorders/>
        <w:shd w:val="clear" w:color="auto" w:fill="b6dde8"/>
      </w:tcPr>
    </w:tblStylePr>
    <w:tblStylePr w:type="neCell">
      <w:pPr/>
      <w:rPr>
        <w:color w:val="000000"/>
      </w:rPr>
      <w:tcPr>
        <w:tcBorders/>
      </w:tcPr>
    </w:tblStylePr>
    <w:tblStylePr w:type="nwCell">
      <w:pPr/>
      <w:rPr>
        <w:color w:val="000000"/>
      </w:rPr>
      <w:tcPr>
        <w:tcBorders/>
      </w:tcPr>
    </w:tblStylePr>
    <w:tcPr>
      <w:tcBorders/>
      <w:shd w:val="clear" w:color="auto" w:fill="edf6f9"/>
    </w:tcPr>
  </w:style>
  <w:style w:type="table" w:styleId="style257">
    <w:name w:val="Colorful Shading Accent 6"/>
    <w:basedOn w:val="style105"/>
    <w:next w:val="style257"/>
    <w:uiPriority w:val="71"/>
    <w:pPr>
      <w:spacing w:after="0" w:lineRule="auto" w:line="240"/>
    </w:pPr>
    <w:rPr>
      <w:color w:val="00000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shd w:val="clear" w:color="auto" w:fill="fef4ec"/>
      <w:tblCellMar>
        <w:top w:w="0" w:type="dxa"/>
        <w:left w:w="108" w:type="dxa"/>
        <w:bottom w:w="0" w:type="dxa"/>
        <w:right w:w="108" w:type="dxa"/>
      </w:tblCellMar>
    </w:tblPr>
    <w:tblStylePr w:type="firstRow">
      <w:pPr/>
      <w:rPr>
        <w:b/>
        <w:bCs/>
      </w:rPr>
      <w:tblPr/>
      <w:tcPr>
        <w:tcBorders>
          <w:top w:val="nil"/>
          <w:left w:val="nil"/>
          <w:bottom w:val="single" w:sz="24" w:space="0" w:color="4bacc6"/>
          <w:right w:val="nil"/>
          <w:insideH w:val="nil"/>
          <w:insideV w:val="nil"/>
        </w:tcBorders>
        <w:shd w:val="clear" w:color="auto" w:fill="ffffff"/>
      </w:tcPr>
    </w:tblStylePr>
    <w:tblStylePr w:type="lastRow">
      <w:pPr/>
      <w:rPr>
        <w:b/>
        <w:bCs/>
        <w:color w:val="ffffff"/>
      </w:rPr>
      <w:tblPr/>
      <w:tcPr>
        <w:tcBorders>
          <w:top w:val="single" w:sz="6" w:space="0" w:color="ffffff"/>
        </w:tcBorders>
        <w:shd w:val="clear" w:color="auto" w:fill="b65608"/>
      </w:tcPr>
    </w:tblStylePr>
    <w:tblStylePr w:type="band1Horz">
      <w:pPr/>
      <w:tblPr/>
      <w:tcPr>
        <w:tcBorders/>
        <w:shd w:val="clear" w:color="auto" w:fill="fbcaa2"/>
      </w:tcPr>
    </w:tblStylePr>
    <w:tblStylePr w:type="firstCol">
      <w:pPr/>
      <w:rPr>
        <w:color w:val="ffffff"/>
      </w:rPr>
      <w:tblPr/>
      <w:tcPr>
        <w:tcBorders>
          <w:top w:val="nil"/>
          <w:left w:val="nil"/>
          <w:bottom w:val="nil"/>
          <w:right w:val="nil"/>
          <w:insideH w:val="single" w:sz="4" w:space="0" w:color="b65608"/>
          <w:insideV w:val="nil"/>
        </w:tcBorders>
        <w:shd w:val="clear" w:color="auto" w:fill="b65608"/>
      </w:tcPr>
    </w:tblStylePr>
    <w:tblStylePr w:type="lastCol">
      <w:pPr/>
      <w:rPr>
        <w:color w:val="ffffff"/>
      </w:rPr>
      <w:tblPr/>
      <w:tcPr>
        <w:tcBorders>
          <w:top w:val="nil"/>
          <w:left w:val="nil"/>
          <w:bottom w:val="nil"/>
          <w:right w:val="nil"/>
          <w:insideH w:val="nil"/>
          <w:insideV w:val="nil"/>
        </w:tcBorders>
        <w:shd w:val="clear" w:color="auto" w:fill="b65608"/>
      </w:tcPr>
    </w:tblStylePr>
    <w:tblStylePr w:type="band1Vert">
      <w:pPr/>
      <w:tblPr/>
      <w:tcPr>
        <w:tcBorders/>
        <w:shd w:val="clear" w:color="auto" w:fill="fbd4b4"/>
      </w:tcPr>
    </w:tblStylePr>
    <w:tblStylePr w:type="neCell">
      <w:pPr/>
      <w:rPr>
        <w:color w:val="000000"/>
      </w:rPr>
      <w:tcPr>
        <w:tcBorders/>
      </w:tcPr>
    </w:tblStylePr>
    <w:tblStylePr w:type="nwCell">
      <w:pPr/>
      <w:rPr>
        <w:color w:val="000000"/>
      </w:rPr>
      <w:tcPr>
        <w:tcBorders/>
      </w:tcPr>
    </w:tblStylePr>
    <w:tcPr>
      <w:tcBorders/>
      <w:shd w:val="clear" w:color="auto" w:fill="fef4ec"/>
    </w:tcPr>
  </w:style>
  <w:style w:type="table" w:styleId="style170">
    <w:name w:val="Colorful List"/>
    <w:basedOn w:val="style105"/>
    <w:next w:val="style170"/>
    <w:uiPriority w:val="72"/>
    <w:pPr>
      <w:spacing w:after="0" w:lineRule="auto" w:line="240"/>
    </w:pPr>
    <w:rPr>
      <w:color w:val="000000"/>
    </w:rPr>
    <w:tblPr>
      <w:tblStyleRowBandSize w:val="1"/>
      <w:tblStyleColBandSize w:val="1"/>
      <w:tblInd w:w="0" w:type="dxa"/>
      <w:shd w:val="clear" w:color="auto" w:fill="e6e6e6"/>
      <w:tblCellMar>
        <w:top w:w="0" w:type="dxa"/>
        <w:left w:w="108" w:type="dxa"/>
        <w:bottom w:w="0" w:type="dxa"/>
        <w:right w:w="108" w:type="dxa"/>
      </w:tblCellMar>
    </w:tblPr>
    <w:tblStylePr w:type="firstRow">
      <w:pPr/>
      <w:rPr>
        <w:b/>
        <w:bCs/>
        <w:color w:val="ffffff"/>
      </w:rPr>
      <w:tblPr/>
      <w:tcPr>
        <w:tcBorders>
          <w:bottom w:val="single" w:sz="12" w:space="0" w:color="ffffff"/>
        </w:tcBorders>
        <w:shd w:val="clear" w:color="auto" w:fill="9e3a38"/>
      </w:tcPr>
    </w:tblStylePr>
    <w:tblStylePr w:type="lastRow">
      <w:pPr/>
      <w:rPr>
        <w:b/>
        <w:bCs/>
        <w:color w:val="9e3a38"/>
      </w:rPr>
      <w:tblPr/>
      <w:tcPr>
        <w:tcBorders>
          <w:top w:val="single" w:sz="12" w:space="0" w:color="000000"/>
        </w:tcBorders>
        <w:shd w:val="clear" w:color="auto" w:fill="ffffff"/>
      </w:tcPr>
    </w:tblStylePr>
    <w:tblStylePr w:type="band1Horz">
      <w:pPr/>
      <w:tblPr/>
      <w:tcPr>
        <w:tcBorders/>
        <w:shd w:val="clear" w:color="auto" w:fill="cccccc"/>
      </w:tcPr>
    </w:tblStylePr>
    <w:tblStylePr w:type="firstCol">
      <w:pPr/>
      <w:rPr>
        <w:b/>
        <w:bCs/>
      </w:rPr>
      <w:tcPr>
        <w:tcBorders/>
      </w:tcPr>
    </w:tblStylePr>
    <w:tblStylePr w:type="lastCol">
      <w:pPr/>
      <w:rPr>
        <w:b/>
        <w:bCs/>
      </w:rPr>
      <w:tcPr>
        <w:tcBorders/>
      </w:tcPr>
    </w:tblStylePr>
    <w:tblStylePr w:type="band1Vert">
      <w:pPr/>
      <w:tblPr/>
      <w:tcPr>
        <w:tcBorders>
          <w:top w:val="nil"/>
          <w:left w:val="nil"/>
          <w:bottom w:val="nil"/>
          <w:right w:val="nil"/>
          <w:insideH w:val="nil"/>
          <w:insideV w:val="nil"/>
        </w:tcBorders>
        <w:shd w:val="clear" w:color="auto" w:fill="c0c0c0"/>
      </w:tcPr>
    </w:tblStylePr>
    <w:tcPr>
      <w:tcBorders/>
      <w:shd w:val="clear" w:color="auto" w:fill="e6e6e6"/>
    </w:tcPr>
  </w:style>
  <w:style w:type="table" w:styleId="style188">
    <w:name w:val="Colorful List Accent 1"/>
    <w:basedOn w:val="style105"/>
    <w:next w:val="style188"/>
    <w:uiPriority w:val="72"/>
    <w:pPr>
      <w:spacing w:after="0" w:lineRule="auto" w:line="240"/>
    </w:pPr>
    <w:rPr>
      <w:color w:val="000000"/>
    </w:rPr>
    <w:tblPr>
      <w:tblStyleRowBandSize w:val="1"/>
      <w:tblStyleColBandSize w:val="1"/>
      <w:tblInd w:w="0" w:type="dxa"/>
      <w:shd w:val="clear" w:color="auto" w:fill="edf2f8"/>
      <w:tblCellMar>
        <w:top w:w="0" w:type="dxa"/>
        <w:left w:w="108" w:type="dxa"/>
        <w:bottom w:w="0" w:type="dxa"/>
        <w:right w:w="108" w:type="dxa"/>
      </w:tblCellMar>
    </w:tblPr>
    <w:tblStylePr w:type="firstRow">
      <w:pPr/>
      <w:rPr>
        <w:b/>
        <w:bCs/>
        <w:color w:val="ffffff"/>
      </w:rPr>
      <w:tblPr/>
      <w:tcPr>
        <w:tcBorders>
          <w:bottom w:val="single" w:sz="12" w:space="0" w:color="ffffff"/>
        </w:tcBorders>
        <w:shd w:val="clear" w:color="auto" w:fill="9e3a38"/>
      </w:tcPr>
    </w:tblStylePr>
    <w:tblStylePr w:type="lastRow">
      <w:pPr/>
      <w:rPr>
        <w:b/>
        <w:bCs/>
        <w:color w:val="9e3a38"/>
      </w:rPr>
      <w:tblPr/>
      <w:tcPr>
        <w:tcBorders>
          <w:top w:val="single" w:sz="12" w:space="0" w:color="000000"/>
        </w:tcBorders>
        <w:shd w:val="clear" w:color="auto" w:fill="ffffff"/>
      </w:tcPr>
    </w:tblStylePr>
    <w:tblStylePr w:type="band1Horz">
      <w:pPr/>
      <w:tblPr/>
      <w:tcPr>
        <w:tcBorders/>
        <w:shd w:val="clear" w:color="auto" w:fill="dbe5f1"/>
      </w:tcPr>
    </w:tblStylePr>
    <w:tblStylePr w:type="firstCol">
      <w:pPr/>
      <w:rPr>
        <w:b/>
        <w:bCs/>
      </w:rPr>
      <w:tcPr>
        <w:tcBorders/>
      </w:tcPr>
    </w:tblStylePr>
    <w:tblStylePr w:type="lastCol">
      <w:pPr/>
      <w:rPr>
        <w:b/>
        <w:bCs/>
      </w:rPr>
      <w:tcPr>
        <w:tcBorders/>
      </w:tcPr>
    </w:tblStylePr>
    <w:tblStylePr w:type="band1Vert">
      <w:pPr/>
      <w:tblPr/>
      <w:tcPr>
        <w:tcBorders>
          <w:top w:val="nil"/>
          <w:left w:val="nil"/>
          <w:bottom w:val="nil"/>
          <w:right w:val="nil"/>
          <w:insideH w:val="nil"/>
          <w:insideV w:val="nil"/>
        </w:tcBorders>
        <w:shd w:val="clear" w:color="auto" w:fill="d3dfee"/>
      </w:tcPr>
    </w:tblStylePr>
    <w:tcPr>
      <w:tcBorders/>
      <w:shd w:val="clear" w:color="auto" w:fill="edf2f8"/>
    </w:tcPr>
  </w:style>
  <w:style w:type="table" w:styleId="style202">
    <w:name w:val="Colorful List Accent 2"/>
    <w:basedOn w:val="style105"/>
    <w:next w:val="style202"/>
    <w:uiPriority w:val="72"/>
    <w:pPr>
      <w:spacing w:after="0" w:lineRule="auto" w:line="240"/>
    </w:pPr>
    <w:rPr>
      <w:color w:val="000000"/>
    </w:rPr>
    <w:tblPr>
      <w:tblStyleRowBandSize w:val="1"/>
      <w:tblStyleColBandSize w:val="1"/>
      <w:tblInd w:w="0" w:type="dxa"/>
      <w:shd w:val="clear" w:color="auto" w:fill="f8eded"/>
      <w:tblCellMar>
        <w:top w:w="0" w:type="dxa"/>
        <w:left w:w="108" w:type="dxa"/>
        <w:bottom w:w="0" w:type="dxa"/>
        <w:right w:w="108" w:type="dxa"/>
      </w:tblCellMar>
    </w:tblPr>
    <w:tblStylePr w:type="firstRow">
      <w:pPr/>
      <w:rPr>
        <w:b/>
        <w:bCs/>
        <w:color w:val="ffffff"/>
      </w:rPr>
      <w:tblPr/>
      <w:tcPr>
        <w:tcBorders>
          <w:bottom w:val="single" w:sz="12" w:space="0" w:color="ffffff"/>
        </w:tcBorders>
        <w:shd w:val="clear" w:color="auto" w:fill="9e3a38"/>
      </w:tcPr>
    </w:tblStylePr>
    <w:tblStylePr w:type="lastRow">
      <w:pPr/>
      <w:rPr>
        <w:b/>
        <w:bCs/>
        <w:color w:val="9e3a38"/>
      </w:rPr>
      <w:tblPr/>
      <w:tcPr>
        <w:tcBorders>
          <w:top w:val="single" w:sz="12" w:space="0" w:color="000000"/>
        </w:tcBorders>
        <w:shd w:val="clear" w:color="auto" w:fill="ffffff"/>
      </w:tcPr>
    </w:tblStylePr>
    <w:tblStylePr w:type="band1Horz">
      <w:pPr/>
      <w:tblPr/>
      <w:tcPr>
        <w:tcBorders/>
        <w:shd w:val="clear" w:color="auto" w:fill="f2dbdb"/>
      </w:tcPr>
    </w:tblStylePr>
    <w:tblStylePr w:type="firstCol">
      <w:pPr/>
      <w:rPr>
        <w:b/>
        <w:bCs/>
      </w:rPr>
      <w:tcPr>
        <w:tcBorders/>
      </w:tcPr>
    </w:tblStylePr>
    <w:tblStylePr w:type="lastCol">
      <w:pPr/>
      <w:rPr>
        <w:b/>
        <w:bCs/>
      </w:rPr>
      <w:tcPr>
        <w:tcBorders/>
      </w:tcPr>
    </w:tblStylePr>
    <w:tblStylePr w:type="band1Vert">
      <w:pPr/>
      <w:tblPr/>
      <w:tcPr>
        <w:tcBorders>
          <w:top w:val="nil"/>
          <w:left w:val="nil"/>
          <w:bottom w:val="nil"/>
          <w:right w:val="nil"/>
          <w:insideH w:val="nil"/>
          <w:insideV w:val="nil"/>
        </w:tcBorders>
        <w:shd w:val="clear" w:color="auto" w:fill="efd3d2"/>
      </w:tcPr>
    </w:tblStylePr>
    <w:tcPr>
      <w:tcBorders/>
      <w:shd w:val="clear" w:color="auto" w:fill="f8eded"/>
    </w:tcPr>
  </w:style>
  <w:style w:type="table" w:styleId="style216">
    <w:name w:val="Colorful List Accent 3"/>
    <w:basedOn w:val="style105"/>
    <w:next w:val="style216"/>
    <w:uiPriority w:val="72"/>
    <w:pPr>
      <w:spacing w:after="0" w:lineRule="auto" w:line="240"/>
    </w:pPr>
    <w:rPr>
      <w:color w:val="000000"/>
    </w:rPr>
    <w:tblPr>
      <w:tblStyleRowBandSize w:val="1"/>
      <w:tblStyleColBandSize w:val="1"/>
      <w:tblInd w:w="0" w:type="dxa"/>
      <w:shd w:val="clear" w:color="auto" w:fill="f5f8ee"/>
      <w:tblCellMar>
        <w:top w:w="0" w:type="dxa"/>
        <w:left w:w="108" w:type="dxa"/>
        <w:bottom w:w="0" w:type="dxa"/>
        <w:right w:w="108" w:type="dxa"/>
      </w:tblCellMar>
    </w:tblPr>
    <w:tblStylePr w:type="firstRow">
      <w:pPr/>
      <w:rPr>
        <w:b/>
        <w:bCs/>
        <w:color w:val="ffffff"/>
      </w:rPr>
      <w:tblPr/>
      <w:tcPr>
        <w:tcBorders>
          <w:bottom w:val="single" w:sz="12" w:space="0" w:color="ffffff"/>
        </w:tcBorders>
        <w:shd w:val="clear" w:color="auto" w:fill="664e82"/>
      </w:tcPr>
    </w:tblStylePr>
    <w:tblStylePr w:type="lastRow">
      <w:pPr/>
      <w:rPr>
        <w:b/>
        <w:bCs/>
        <w:color w:val="664e82"/>
      </w:rPr>
      <w:tblPr/>
      <w:tcPr>
        <w:tcBorders>
          <w:top w:val="single" w:sz="12" w:space="0" w:color="000000"/>
        </w:tcBorders>
        <w:shd w:val="clear" w:color="auto" w:fill="ffffff"/>
      </w:tcPr>
    </w:tblStylePr>
    <w:tblStylePr w:type="band1Horz">
      <w:pPr/>
      <w:tblPr/>
      <w:tcPr>
        <w:tcBorders/>
        <w:shd w:val="clear" w:color="auto" w:fill="eaf1dd"/>
      </w:tcPr>
    </w:tblStylePr>
    <w:tblStylePr w:type="firstCol">
      <w:pPr/>
      <w:rPr>
        <w:b/>
        <w:bCs/>
      </w:rPr>
      <w:tcPr>
        <w:tcBorders/>
      </w:tcPr>
    </w:tblStylePr>
    <w:tblStylePr w:type="lastCol">
      <w:pPr/>
      <w:rPr>
        <w:b/>
        <w:bCs/>
      </w:rPr>
      <w:tcPr>
        <w:tcBorders/>
      </w:tcPr>
    </w:tblStylePr>
    <w:tblStylePr w:type="band1Vert">
      <w:pPr/>
      <w:tblPr/>
      <w:tcPr>
        <w:tcBorders>
          <w:top w:val="nil"/>
          <w:left w:val="nil"/>
          <w:bottom w:val="nil"/>
          <w:right w:val="nil"/>
          <w:insideH w:val="nil"/>
          <w:insideV w:val="nil"/>
        </w:tcBorders>
        <w:shd w:val="clear" w:color="auto" w:fill="e6eed5"/>
      </w:tcPr>
    </w:tblStylePr>
    <w:tcPr>
      <w:tcBorders/>
      <w:shd w:val="clear" w:color="auto" w:fill="f5f8ee"/>
    </w:tcPr>
  </w:style>
  <w:style w:type="table" w:styleId="style230">
    <w:name w:val="Colorful List Accent 4"/>
    <w:basedOn w:val="style105"/>
    <w:next w:val="style230"/>
    <w:uiPriority w:val="72"/>
    <w:pPr>
      <w:spacing w:after="0" w:lineRule="auto" w:line="240"/>
    </w:pPr>
    <w:rPr>
      <w:color w:val="000000"/>
    </w:rPr>
    <w:tblPr>
      <w:tblStyleRowBandSize w:val="1"/>
      <w:tblStyleColBandSize w:val="1"/>
      <w:tblInd w:w="0" w:type="dxa"/>
      <w:shd w:val="clear" w:color="auto" w:fill="f2eff6"/>
      <w:tblCellMar>
        <w:top w:w="0" w:type="dxa"/>
        <w:left w:w="108" w:type="dxa"/>
        <w:bottom w:w="0" w:type="dxa"/>
        <w:right w:w="108" w:type="dxa"/>
      </w:tblCellMar>
    </w:tblPr>
    <w:tblStylePr w:type="firstRow">
      <w:pPr/>
      <w:rPr>
        <w:b/>
        <w:bCs/>
        <w:color w:val="ffffff"/>
      </w:rPr>
      <w:tblPr/>
      <w:tcPr>
        <w:tcBorders>
          <w:bottom w:val="single" w:sz="12" w:space="0" w:color="ffffff"/>
        </w:tcBorders>
        <w:shd w:val="clear" w:color="auto" w:fill="7e9c40"/>
      </w:tcPr>
    </w:tblStylePr>
    <w:tblStylePr w:type="lastRow">
      <w:pPr/>
      <w:rPr>
        <w:b/>
        <w:bCs/>
        <w:color w:val="7e9c40"/>
      </w:rPr>
      <w:tblPr/>
      <w:tcPr>
        <w:tcBorders>
          <w:top w:val="single" w:sz="12" w:space="0" w:color="000000"/>
        </w:tcBorders>
        <w:shd w:val="clear" w:color="auto" w:fill="ffffff"/>
      </w:tcPr>
    </w:tblStylePr>
    <w:tblStylePr w:type="band1Horz">
      <w:pPr/>
      <w:tblPr/>
      <w:tcPr>
        <w:tcBorders/>
        <w:shd w:val="clear" w:color="auto" w:fill="e5dfec"/>
      </w:tcPr>
    </w:tblStylePr>
    <w:tblStylePr w:type="firstCol">
      <w:pPr/>
      <w:rPr>
        <w:b/>
        <w:bCs/>
      </w:rPr>
      <w:tcPr>
        <w:tcBorders/>
      </w:tcPr>
    </w:tblStylePr>
    <w:tblStylePr w:type="lastCol">
      <w:pPr/>
      <w:rPr>
        <w:b/>
        <w:bCs/>
      </w:rPr>
      <w:tcPr>
        <w:tcBorders/>
      </w:tcPr>
    </w:tblStylePr>
    <w:tblStylePr w:type="band1Vert">
      <w:pPr/>
      <w:tblPr/>
      <w:tcPr>
        <w:tcBorders>
          <w:top w:val="nil"/>
          <w:left w:val="nil"/>
          <w:bottom w:val="nil"/>
          <w:right w:val="nil"/>
          <w:insideH w:val="nil"/>
          <w:insideV w:val="nil"/>
        </w:tcBorders>
        <w:shd w:val="clear" w:color="auto" w:fill="dfd8e8"/>
      </w:tcPr>
    </w:tblStylePr>
    <w:tcPr>
      <w:tcBorders/>
      <w:shd w:val="clear" w:color="auto" w:fill="f2eff6"/>
    </w:tcPr>
  </w:style>
  <w:style w:type="table" w:styleId="style244">
    <w:name w:val="Colorful List Accent 5"/>
    <w:basedOn w:val="style105"/>
    <w:next w:val="style244"/>
    <w:uiPriority w:val="72"/>
    <w:pPr>
      <w:spacing w:after="0" w:lineRule="auto" w:line="240"/>
    </w:pPr>
    <w:rPr>
      <w:color w:val="000000"/>
    </w:rPr>
    <w:tblPr>
      <w:tblStyleRowBandSize w:val="1"/>
      <w:tblStyleColBandSize w:val="1"/>
      <w:tblInd w:w="0" w:type="dxa"/>
      <w:shd w:val="clear" w:color="auto" w:fill="edf6f9"/>
      <w:tblCellMar>
        <w:top w:w="0" w:type="dxa"/>
        <w:left w:w="108" w:type="dxa"/>
        <w:bottom w:w="0" w:type="dxa"/>
        <w:right w:w="108" w:type="dxa"/>
      </w:tblCellMar>
    </w:tblPr>
    <w:tblStylePr w:type="firstRow">
      <w:pPr/>
      <w:rPr>
        <w:b/>
        <w:bCs/>
        <w:color w:val="ffffff"/>
      </w:rPr>
      <w:tblPr/>
      <w:tcPr>
        <w:tcBorders>
          <w:bottom w:val="single" w:sz="12" w:space="0" w:color="ffffff"/>
        </w:tcBorders>
        <w:shd w:val="clear" w:color="auto" w:fill="f2730a"/>
      </w:tcPr>
    </w:tblStylePr>
    <w:tblStylePr w:type="lastRow">
      <w:pPr/>
      <w:rPr>
        <w:b/>
        <w:bCs/>
        <w:color w:val="f2730a"/>
      </w:rPr>
      <w:tblPr/>
      <w:tcPr>
        <w:tcBorders>
          <w:top w:val="single" w:sz="12" w:space="0" w:color="000000"/>
        </w:tcBorders>
        <w:shd w:val="clear" w:color="auto" w:fill="ffffff"/>
      </w:tcPr>
    </w:tblStylePr>
    <w:tblStylePr w:type="band1Horz">
      <w:pPr/>
      <w:tblPr/>
      <w:tcPr>
        <w:tcBorders/>
        <w:shd w:val="clear" w:color="auto" w:fill="daeef3"/>
      </w:tcPr>
    </w:tblStylePr>
    <w:tblStylePr w:type="firstCol">
      <w:pPr/>
      <w:rPr>
        <w:b/>
        <w:bCs/>
      </w:rPr>
      <w:tcPr>
        <w:tcBorders/>
      </w:tcPr>
    </w:tblStylePr>
    <w:tblStylePr w:type="lastCol">
      <w:pPr/>
      <w:rPr>
        <w:b/>
        <w:bCs/>
      </w:rPr>
      <w:tcPr>
        <w:tcBorders/>
      </w:tcPr>
    </w:tblStylePr>
    <w:tblStylePr w:type="band1Vert">
      <w:pPr/>
      <w:tblPr/>
      <w:tcPr>
        <w:tcBorders>
          <w:top w:val="nil"/>
          <w:left w:val="nil"/>
          <w:bottom w:val="nil"/>
          <w:right w:val="nil"/>
          <w:insideH w:val="nil"/>
          <w:insideV w:val="nil"/>
        </w:tcBorders>
        <w:shd w:val="clear" w:color="auto" w:fill="d2eaf1"/>
      </w:tcPr>
    </w:tblStylePr>
    <w:tcPr>
      <w:tcBorders/>
      <w:shd w:val="clear" w:color="auto" w:fill="edf6f9"/>
    </w:tcPr>
  </w:style>
  <w:style w:type="table" w:styleId="style258">
    <w:name w:val="Colorful List Accent 6"/>
    <w:basedOn w:val="style105"/>
    <w:next w:val="style258"/>
    <w:uiPriority w:val="72"/>
    <w:pPr>
      <w:spacing w:after="0" w:lineRule="auto" w:line="240"/>
    </w:pPr>
    <w:rPr>
      <w:color w:val="000000"/>
    </w:rPr>
    <w:tblPr>
      <w:tblStyleRowBandSize w:val="1"/>
      <w:tblStyleColBandSize w:val="1"/>
      <w:tblInd w:w="0" w:type="dxa"/>
      <w:shd w:val="clear" w:color="auto" w:fill="fef4ec"/>
      <w:tblCellMar>
        <w:top w:w="0" w:type="dxa"/>
        <w:left w:w="108" w:type="dxa"/>
        <w:bottom w:w="0" w:type="dxa"/>
        <w:right w:w="108" w:type="dxa"/>
      </w:tblCellMar>
    </w:tblPr>
    <w:tblStylePr w:type="firstRow">
      <w:pPr/>
      <w:rPr>
        <w:b/>
        <w:bCs/>
        <w:color w:val="ffffff"/>
      </w:rPr>
      <w:tblPr/>
      <w:tcPr>
        <w:tcBorders>
          <w:bottom w:val="single" w:sz="12" w:space="0" w:color="ffffff"/>
        </w:tcBorders>
        <w:shd w:val="clear" w:color="auto" w:fill="348da5"/>
      </w:tcPr>
    </w:tblStylePr>
    <w:tblStylePr w:type="lastRow">
      <w:pPr/>
      <w:rPr>
        <w:b/>
        <w:bCs/>
        <w:color w:val="348da5"/>
      </w:rPr>
      <w:tblPr/>
      <w:tcPr>
        <w:tcBorders>
          <w:top w:val="single" w:sz="12" w:space="0" w:color="000000"/>
        </w:tcBorders>
        <w:shd w:val="clear" w:color="auto" w:fill="ffffff"/>
      </w:tcPr>
    </w:tblStylePr>
    <w:tblStylePr w:type="band1Horz">
      <w:pPr/>
      <w:tblPr/>
      <w:tcPr>
        <w:tcBorders/>
        <w:shd w:val="clear" w:color="auto" w:fill="fde9d9"/>
      </w:tcPr>
    </w:tblStylePr>
    <w:tblStylePr w:type="firstCol">
      <w:pPr/>
      <w:rPr>
        <w:b/>
        <w:bCs/>
      </w:rPr>
      <w:tcPr>
        <w:tcBorders/>
      </w:tcPr>
    </w:tblStylePr>
    <w:tblStylePr w:type="lastCol">
      <w:pPr/>
      <w:rPr>
        <w:b/>
        <w:bCs/>
      </w:rPr>
      <w:tcPr>
        <w:tcBorders/>
      </w:tcPr>
    </w:tblStylePr>
    <w:tblStylePr w:type="band1Vert">
      <w:pPr/>
      <w:tblPr/>
      <w:tcPr>
        <w:tcBorders>
          <w:top w:val="nil"/>
          <w:left w:val="nil"/>
          <w:bottom w:val="nil"/>
          <w:right w:val="nil"/>
          <w:insideH w:val="nil"/>
          <w:insideV w:val="nil"/>
        </w:tcBorders>
        <w:shd w:val="clear" w:color="auto" w:fill="fde4d0"/>
      </w:tcPr>
    </w:tblStylePr>
    <w:tcPr>
      <w:tcBorders/>
      <w:shd w:val="clear" w:color="auto" w:fill="fef4ec"/>
    </w:tcPr>
  </w:style>
  <w:style w:type="table" w:styleId="style171">
    <w:name w:val="Colorful Grid"/>
    <w:basedOn w:val="style105"/>
    <w:next w:val="style171"/>
    <w:uiPriority w:val="73"/>
    <w:pPr>
      <w:spacing w:after="0" w:lineRule="auto" w:line="240"/>
    </w:pPr>
    <w:rPr>
      <w:color w:val="000000"/>
    </w:rPr>
    <w:tblPr>
      <w:tblStyleRowBandSize w:val="1"/>
      <w:tblStyleColBandSize w:val="1"/>
      <w:tblInd w:w="0" w:type="dxa"/>
      <w:tblBorders>
        <w:insideH w:val="single" w:sz="4" w:space="0" w:color="ffffff"/>
      </w:tblBorders>
      <w:shd w:val="clear" w:color="auto" w:fill="cccccc"/>
      <w:tblCellMar>
        <w:top w:w="0" w:type="dxa"/>
        <w:left w:w="108" w:type="dxa"/>
        <w:bottom w:w="0" w:type="dxa"/>
        <w:right w:w="108" w:type="dxa"/>
      </w:tblCellMar>
    </w:tblPr>
    <w:tblStylePr w:type="firstRow">
      <w:pPr/>
      <w:rPr>
        <w:b/>
        <w:bCs/>
      </w:rPr>
      <w:tblPr/>
      <w:tcPr>
        <w:tcBorders/>
        <w:shd w:val="clear" w:color="auto" w:fill="999999"/>
      </w:tcPr>
    </w:tblStylePr>
    <w:tblStylePr w:type="lastRow">
      <w:pPr/>
      <w:rPr>
        <w:b/>
        <w:bCs/>
        <w:color w:val="000000"/>
      </w:rPr>
      <w:tblPr/>
      <w:tcPr>
        <w:tcBorders/>
        <w:shd w:val="clear" w:color="auto" w:fill="999999"/>
      </w:tcPr>
    </w:tblStylePr>
    <w:tblStylePr w:type="band1Horz">
      <w:pPr/>
      <w:tblPr/>
      <w:tcPr>
        <w:tcBorders/>
        <w:shd w:val="clear" w:color="auto" w:fill="808080"/>
      </w:tcPr>
    </w:tblStylePr>
    <w:tblStylePr w:type="firstCol">
      <w:pPr/>
      <w:rPr>
        <w:color w:val="ffffff"/>
      </w:rPr>
      <w:tblPr/>
      <w:tcPr>
        <w:tcBorders/>
        <w:shd w:val="clear" w:color="auto" w:fill="000000"/>
      </w:tcPr>
    </w:tblStylePr>
    <w:tblStylePr w:type="lastCol">
      <w:pPr/>
      <w:rPr>
        <w:color w:val="ffffff"/>
      </w:rPr>
      <w:tblPr/>
      <w:tcPr>
        <w:tcBorders/>
        <w:shd w:val="clear" w:color="auto" w:fill="000000"/>
      </w:tcPr>
    </w:tblStylePr>
    <w:tblStylePr w:type="band1Vert">
      <w:pPr/>
      <w:tblPr/>
      <w:tcPr>
        <w:tcBorders/>
        <w:shd w:val="clear" w:color="auto" w:fill="808080"/>
      </w:tcPr>
    </w:tblStylePr>
    <w:tcPr>
      <w:tcBorders/>
      <w:shd w:val="clear" w:color="auto" w:fill="cccccc"/>
    </w:tcPr>
  </w:style>
  <w:style w:type="table" w:styleId="style189">
    <w:name w:val="Colorful Grid Accent 1"/>
    <w:basedOn w:val="style105"/>
    <w:next w:val="style189"/>
    <w:uiPriority w:val="73"/>
    <w:pPr>
      <w:spacing w:after="0" w:lineRule="auto" w:line="240"/>
    </w:pPr>
    <w:rPr>
      <w:color w:val="000000"/>
    </w:rPr>
    <w:tblPr>
      <w:tblStyleRowBandSize w:val="1"/>
      <w:tblStyleColBandSize w:val="1"/>
      <w:tblInd w:w="0" w:type="dxa"/>
      <w:tblBorders>
        <w:insideH w:val="single" w:sz="4" w:space="0" w:color="ffffff"/>
      </w:tblBorders>
      <w:shd w:val="clear" w:color="auto" w:fill="dbe5f1"/>
      <w:tblCellMar>
        <w:top w:w="0" w:type="dxa"/>
        <w:left w:w="108" w:type="dxa"/>
        <w:bottom w:w="0" w:type="dxa"/>
        <w:right w:w="108" w:type="dxa"/>
      </w:tblCellMar>
    </w:tblPr>
    <w:tblStylePr w:type="firstRow">
      <w:pPr/>
      <w:rPr>
        <w:b/>
        <w:bCs/>
      </w:rPr>
      <w:tblPr/>
      <w:tcPr>
        <w:tcBorders/>
        <w:shd w:val="clear" w:color="auto" w:fill="b8cce4"/>
      </w:tcPr>
    </w:tblStylePr>
    <w:tblStylePr w:type="lastRow">
      <w:pPr/>
      <w:rPr>
        <w:b/>
        <w:bCs/>
        <w:color w:val="000000"/>
      </w:rPr>
      <w:tblPr/>
      <w:tcPr>
        <w:tcBorders/>
        <w:shd w:val="clear" w:color="auto" w:fill="b8cce4"/>
      </w:tcPr>
    </w:tblStylePr>
    <w:tblStylePr w:type="band1Horz">
      <w:pPr/>
      <w:tblPr/>
      <w:tcPr>
        <w:tcBorders/>
        <w:shd w:val="clear" w:color="auto" w:fill="a7bfde"/>
      </w:tcPr>
    </w:tblStylePr>
    <w:tblStylePr w:type="firstCol">
      <w:pPr/>
      <w:rPr>
        <w:color w:val="ffffff"/>
      </w:rPr>
      <w:tblPr/>
      <w:tcPr>
        <w:tcBorders/>
        <w:shd w:val="clear" w:color="auto" w:fill="365f91"/>
      </w:tcPr>
    </w:tblStylePr>
    <w:tblStylePr w:type="lastCol">
      <w:pPr/>
      <w:rPr>
        <w:color w:val="ffffff"/>
      </w:rPr>
      <w:tblPr/>
      <w:tcPr>
        <w:tcBorders/>
        <w:shd w:val="clear" w:color="auto" w:fill="365f91"/>
      </w:tcPr>
    </w:tblStylePr>
    <w:tblStylePr w:type="band1Vert">
      <w:pPr/>
      <w:tblPr/>
      <w:tcPr>
        <w:tcBorders/>
        <w:shd w:val="clear" w:color="auto" w:fill="a7bfde"/>
      </w:tcPr>
    </w:tblStylePr>
    <w:tcPr>
      <w:tcBorders/>
      <w:shd w:val="clear" w:color="auto" w:fill="dbe5f1"/>
    </w:tcPr>
  </w:style>
  <w:style w:type="table" w:styleId="style203">
    <w:name w:val="Colorful Grid Accent 2"/>
    <w:basedOn w:val="style105"/>
    <w:next w:val="style203"/>
    <w:uiPriority w:val="73"/>
    <w:pPr>
      <w:spacing w:after="0" w:lineRule="auto" w:line="240"/>
    </w:pPr>
    <w:rPr>
      <w:color w:val="000000"/>
    </w:rPr>
    <w:tblPr>
      <w:tblStyleRowBandSize w:val="1"/>
      <w:tblStyleColBandSize w:val="1"/>
      <w:tblInd w:w="0" w:type="dxa"/>
      <w:tblBorders>
        <w:insideH w:val="single" w:sz="4" w:space="0" w:color="ffffff"/>
      </w:tblBorders>
      <w:shd w:val="clear" w:color="auto" w:fill="f2dbdb"/>
      <w:tblCellMar>
        <w:top w:w="0" w:type="dxa"/>
        <w:left w:w="108" w:type="dxa"/>
        <w:bottom w:w="0" w:type="dxa"/>
        <w:right w:w="108" w:type="dxa"/>
      </w:tblCellMar>
    </w:tblPr>
    <w:tblStylePr w:type="firstRow">
      <w:pPr/>
      <w:rPr>
        <w:b/>
        <w:bCs/>
      </w:rPr>
      <w:tblPr/>
      <w:tcPr>
        <w:tcBorders/>
        <w:shd w:val="clear" w:color="auto" w:fill="e5b8b7"/>
      </w:tcPr>
    </w:tblStylePr>
    <w:tblStylePr w:type="lastRow">
      <w:pPr/>
      <w:rPr>
        <w:b/>
        <w:bCs/>
        <w:color w:val="000000"/>
      </w:rPr>
      <w:tblPr/>
      <w:tcPr>
        <w:tcBorders/>
        <w:shd w:val="clear" w:color="auto" w:fill="e5b8b7"/>
      </w:tcPr>
    </w:tblStylePr>
    <w:tblStylePr w:type="band1Horz">
      <w:pPr/>
      <w:tblPr/>
      <w:tcPr>
        <w:tcBorders/>
        <w:shd w:val="clear" w:color="auto" w:fill="dfa7a6"/>
      </w:tcPr>
    </w:tblStylePr>
    <w:tblStylePr w:type="firstCol">
      <w:pPr/>
      <w:rPr>
        <w:color w:val="ffffff"/>
      </w:rPr>
      <w:tblPr/>
      <w:tcPr>
        <w:tcBorders/>
        <w:shd w:val="clear" w:color="auto" w:fill="943634"/>
      </w:tcPr>
    </w:tblStylePr>
    <w:tblStylePr w:type="lastCol">
      <w:pPr/>
      <w:rPr>
        <w:color w:val="ffffff"/>
      </w:rPr>
      <w:tblPr/>
      <w:tcPr>
        <w:tcBorders/>
        <w:shd w:val="clear" w:color="auto" w:fill="943634"/>
      </w:tcPr>
    </w:tblStylePr>
    <w:tblStylePr w:type="band1Vert">
      <w:pPr/>
      <w:tblPr/>
      <w:tcPr>
        <w:tcBorders/>
        <w:shd w:val="clear" w:color="auto" w:fill="dfa7a6"/>
      </w:tcPr>
    </w:tblStylePr>
    <w:tcPr>
      <w:tcBorders/>
      <w:shd w:val="clear" w:color="auto" w:fill="f2dbdb"/>
    </w:tcPr>
  </w:style>
  <w:style w:type="table" w:styleId="style217">
    <w:name w:val="Colorful Grid Accent 3"/>
    <w:basedOn w:val="style105"/>
    <w:next w:val="style217"/>
    <w:uiPriority w:val="73"/>
    <w:pPr>
      <w:spacing w:after="0" w:lineRule="auto" w:line="240"/>
    </w:pPr>
    <w:rPr>
      <w:color w:val="000000"/>
    </w:rPr>
    <w:tblPr>
      <w:tblStyleRowBandSize w:val="1"/>
      <w:tblStyleColBandSize w:val="1"/>
      <w:tblInd w:w="0" w:type="dxa"/>
      <w:tblBorders>
        <w:insideH w:val="single" w:sz="4" w:space="0" w:color="ffffff"/>
      </w:tblBorders>
      <w:shd w:val="clear" w:color="auto" w:fill="eaf1dd"/>
      <w:tblCellMar>
        <w:top w:w="0" w:type="dxa"/>
        <w:left w:w="108" w:type="dxa"/>
        <w:bottom w:w="0" w:type="dxa"/>
        <w:right w:w="108" w:type="dxa"/>
      </w:tblCellMar>
    </w:tblPr>
    <w:tblStylePr w:type="firstRow">
      <w:pPr/>
      <w:rPr>
        <w:b/>
        <w:bCs/>
      </w:rPr>
      <w:tblPr/>
      <w:tcPr>
        <w:tcBorders/>
        <w:shd w:val="clear" w:color="auto" w:fill="d6e3bc"/>
      </w:tcPr>
    </w:tblStylePr>
    <w:tblStylePr w:type="lastRow">
      <w:pPr/>
      <w:rPr>
        <w:b/>
        <w:bCs/>
        <w:color w:val="000000"/>
      </w:rPr>
      <w:tblPr/>
      <w:tcPr>
        <w:tcBorders/>
        <w:shd w:val="clear" w:color="auto" w:fill="d6e3bc"/>
      </w:tcPr>
    </w:tblStylePr>
    <w:tblStylePr w:type="band1Horz">
      <w:pPr/>
      <w:tblPr/>
      <w:tcPr>
        <w:tcBorders/>
        <w:shd w:val="clear" w:color="auto" w:fill="cdddac"/>
      </w:tcPr>
    </w:tblStylePr>
    <w:tblStylePr w:type="firstCol">
      <w:pPr/>
      <w:rPr>
        <w:color w:val="ffffff"/>
      </w:rPr>
      <w:tblPr/>
      <w:tcPr>
        <w:tcBorders/>
        <w:shd w:val="clear" w:color="auto" w:fill="76923c"/>
      </w:tcPr>
    </w:tblStylePr>
    <w:tblStylePr w:type="lastCol">
      <w:pPr/>
      <w:rPr>
        <w:color w:val="ffffff"/>
      </w:rPr>
      <w:tblPr/>
      <w:tcPr>
        <w:tcBorders/>
        <w:shd w:val="clear" w:color="auto" w:fill="76923c"/>
      </w:tcPr>
    </w:tblStylePr>
    <w:tblStylePr w:type="band1Vert">
      <w:pPr/>
      <w:tblPr/>
      <w:tcPr>
        <w:tcBorders/>
        <w:shd w:val="clear" w:color="auto" w:fill="cdddac"/>
      </w:tcPr>
    </w:tblStylePr>
    <w:tcPr>
      <w:tcBorders/>
      <w:shd w:val="clear" w:color="auto" w:fill="eaf1dd"/>
    </w:tcPr>
  </w:style>
  <w:style w:type="table" w:styleId="style231">
    <w:name w:val="Colorful Grid Accent 4"/>
    <w:basedOn w:val="style105"/>
    <w:next w:val="style231"/>
    <w:uiPriority w:val="73"/>
    <w:pPr>
      <w:spacing w:after="0" w:lineRule="auto" w:line="240"/>
    </w:pPr>
    <w:rPr>
      <w:color w:val="000000"/>
    </w:rPr>
    <w:tblPr>
      <w:tblStyleRowBandSize w:val="1"/>
      <w:tblStyleColBandSize w:val="1"/>
      <w:tblInd w:w="0" w:type="dxa"/>
      <w:tblBorders>
        <w:insideH w:val="single" w:sz="4" w:space="0" w:color="ffffff"/>
      </w:tblBorders>
      <w:shd w:val="clear" w:color="auto" w:fill="e5dfec"/>
      <w:tblCellMar>
        <w:top w:w="0" w:type="dxa"/>
        <w:left w:w="108" w:type="dxa"/>
        <w:bottom w:w="0" w:type="dxa"/>
        <w:right w:w="108" w:type="dxa"/>
      </w:tblCellMar>
    </w:tblPr>
    <w:tblStylePr w:type="firstRow">
      <w:pPr/>
      <w:rPr>
        <w:b/>
        <w:bCs/>
      </w:rPr>
      <w:tblPr/>
      <w:tcPr>
        <w:tcBorders/>
        <w:shd w:val="clear" w:color="auto" w:fill="ccc0d9"/>
      </w:tcPr>
    </w:tblStylePr>
    <w:tblStylePr w:type="lastRow">
      <w:pPr/>
      <w:rPr>
        <w:b/>
        <w:bCs/>
        <w:color w:val="000000"/>
      </w:rPr>
      <w:tblPr/>
      <w:tcPr>
        <w:tcBorders/>
        <w:shd w:val="clear" w:color="auto" w:fill="ccc0d9"/>
      </w:tcPr>
    </w:tblStylePr>
    <w:tblStylePr w:type="band1Horz">
      <w:pPr/>
      <w:tblPr/>
      <w:tcPr>
        <w:tcBorders/>
        <w:shd w:val="clear" w:color="auto" w:fill="bfb1d0"/>
      </w:tcPr>
    </w:tblStylePr>
    <w:tblStylePr w:type="firstCol">
      <w:pPr/>
      <w:rPr>
        <w:color w:val="ffffff"/>
      </w:rPr>
      <w:tblPr/>
      <w:tcPr>
        <w:tcBorders/>
        <w:shd w:val="clear" w:color="auto" w:fill="5f497a"/>
      </w:tcPr>
    </w:tblStylePr>
    <w:tblStylePr w:type="lastCol">
      <w:pPr/>
      <w:rPr>
        <w:color w:val="ffffff"/>
      </w:rPr>
      <w:tblPr/>
      <w:tcPr>
        <w:tcBorders/>
        <w:shd w:val="clear" w:color="auto" w:fill="5f497a"/>
      </w:tcPr>
    </w:tblStylePr>
    <w:tblStylePr w:type="band1Vert">
      <w:pPr/>
      <w:tblPr/>
      <w:tcPr>
        <w:tcBorders/>
        <w:shd w:val="clear" w:color="auto" w:fill="bfb1d0"/>
      </w:tcPr>
    </w:tblStylePr>
    <w:tcPr>
      <w:tcBorders/>
      <w:shd w:val="clear" w:color="auto" w:fill="e5dfec"/>
    </w:tcPr>
  </w:style>
  <w:style w:type="table" w:styleId="style245">
    <w:name w:val="Colorful Grid Accent 5"/>
    <w:basedOn w:val="style105"/>
    <w:next w:val="style245"/>
    <w:uiPriority w:val="73"/>
    <w:pPr>
      <w:spacing w:after="0" w:lineRule="auto" w:line="240"/>
    </w:pPr>
    <w:rPr>
      <w:color w:val="000000"/>
    </w:rPr>
    <w:tblPr>
      <w:tblStyleRowBandSize w:val="1"/>
      <w:tblStyleColBandSize w:val="1"/>
      <w:tblInd w:w="0" w:type="dxa"/>
      <w:tblBorders>
        <w:insideH w:val="single" w:sz="4" w:space="0" w:color="ffffff"/>
      </w:tblBorders>
      <w:shd w:val="clear" w:color="auto" w:fill="daeef3"/>
      <w:tblCellMar>
        <w:top w:w="0" w:type="dxa"/>
        <w:left w:w="108" w:type="dxa"/>
        <w:bottom w:w="0" w:type="dxa"/>
        <w:right w:w="108" w:type="dxa"/>
      </w:tblCellMar>
    </w:tblPr>
    <w:tblStylePr w:type="firstRow">
      <w:pPr/>
      <w:rPr>
        <w:b/>
        <w:bCs/>
      </w:rPr>
      <w:tblPr/>
      <w:tcPr>
        <w:tcBorders/>
        <w:shd w:val="clear" w:color="auto" w:fill="b6dde8"/>
      </w:tcPr>
    </w:tblStylePr>
    <w:tblStylePr w:type="lastRow">
      <w:pPr/>
      <w:rPr>
        <w:b/>
        <w:bCs/>
        <w:color w:val="000000"/>
      </w:rPr>
      <w:tblPr/>
      <w:tcPr>
        <w:tcBorders/>
        <w:shd w:val="clear" w:color="auto" w:fill="b6dde8"/>
      </w:tcPr>
    </w:tblStylePr>
    <w:tblStylePr w:type="band1Horz">
      <w:pPr/>
      <w:tblPr/>
      <w:tcPr>
        <w:tcBorders/>
        <w:shd w:val="clear" w:color="auto" w:fill="a5d5e2"/>
      </w:tcPr>
    </w:tblStylePr>
    <w:tblStylePr w:type="firstCol">
      <w:pPr/>
      <w:rPr>
        <w:color w:val="ffffff"/>
      </w:rPr>
      <w:tblPr/>
      <w:tcPr>
        <w:tcBorders/>
        <w:shd w:val="clear" w:color="auto" w:fill="31849b"/>
      </w:tcPr>
    </w:tblStylePr>
    <w:tblStylePr w:type="lastCol">
      <w:pPr/>
      <w:rPr>
        <w:color w:val="ffffff"/>
      </w:rPr>
      <w:tblPr/>
      <w:tcPr>
        <w:tcBorders/>
        <w:shd w:val="clear" w:color="auto" w:fill="31849b"/>
      </w:tcPr>
    </w:tblStylePr>
    <w:tblStylePr w:type="band1Vert">
      <w:pPr/>
      <w:tblPr/>
      <w:tcPr>
        <w:tcBorders/>
        <w:shd w:val="clear" w:color="auto" w:fill="a5d5e2"/>
      </w:tcPr>
    </w:tblStylePr>
    <w:tcPr>
      <w:tcBorders/>
      <w:shd w:val="clear" w:color="auto" w:fill="daeef3"/>
    </w:tcPr>
  </w:style>
  <w:style w:type="table" w:styleId="style259">
    <w:name w:val="Colorful Grid Accent 6"/>
    <w:basedOn w:val="style105"/>
    <w:next w:val="style259"/>
    <w:uiPriority w:val="73"/>
    <w:pPr>
      <w:spacing w:after="0" w:lineRule="auto" w:line="240"/>
    </w:pPr>
    <w:rPr>
      <w:color w:val="000000"/>
    </w:rPr>
    <w:tblPr>
      <w:tblStyleRowBandSize w:val="1"/>
      <w:tblStyleColBandSize w:val="1"/>
      <w:tblInd w:w="0" w:type="dxa"/>
      <w:tblBorders>
        <w:insideH w:val="single" w:sz="4" w:space="0" w:color="ffffff"/>
      </w:tblBorders>
      <w:shd w:val="clear" w:color="auto" w:fill="fde9d9"/>
      <w:tblCellMar>
        <w:top w:w="0" w:type="dxa"/>
        <w:left w:w="108" w:type="dxa"/>
        <w:bottom w:w="0" w:type="dxa"/>
        <w:right w:w="108" w:type="dxa"/>
      </w:tblCellMar>
    </w:tblPr>
    <w:tblStylePr w:type="firstRow">
      <w:pPr/>
      <w:rPr>
        <w:b/>
        <w:bCs/>
      </w:rPr>
      <w:tblPr/>
      <w:tcPr>
        <w:tcBorders/>
        <w:shd w:val="clear" w:color="auto" w:fill="fbd4b4"/>
      </w:tcPr>
    </w:tblStylePr>
    <w:tblStylePr w:type="lastRow">
      <w:pPr/>
      <w:rPr>
        <w:b/>
        <w:bCs/>
        <w:color w:val="000000"/>
      </w:rPr>
      <w:tblPr/>
      <w:tcPr>
        <w:tcBorders/>
        <w:shd w:val="clear" w:color="auto" w:fill="fbd4b4"/>
      </w:tcPr>
    </w:tblStylePr>
    <w:tblStylePr w:type="band1Horz">
      <w:pPr/>
      <w:tblPr/>
      <w:tcPr>
        <w:tcBorders/>
        <w:shd w:val="clear" w:color="auto" w:fill="fbcaa2"/>
      </w:tcPr>
    </w:tblStylePr>
    <w:tblStylePr w:type="firstCol">
      <w:pPr/>
      <w:rPr>
        <w:color w:val="ffffff"/>
      </w:rPr>
      <w:tblPr/>
      <w:tcPr>
        <w:tcBorders/>
        <w:shd w:val="clear" w:color="auto" w:fill="e36c0a"/>
      </w:tcPr>
    </w:tblStylePr>
    <w:tblStylePr w:type="lastCol">
      <w:pPr/>
      <w:rPr>
        <w:color w:val="ffffff"/>
      </w:rPr>
      <w:tblPr/>
      <w:tcPr>
        <w:tcBorders/>
        <w:shd w:val="clear" w:color="auto" w:fill="e36c0a"/>
      </w:tcPr>
    </w:tblStylePr>
    <w:tblStylePr w:type="band1Vert">
      <w:pPr/>
      <w:tblPr/>
      <w:tcPr>
        <w:tcBorders/>
        <w:shd w:val="clear" w:color="auto" w:fill="fbcaa2"/>
      </w:tcPr>
    </w:tblStylePr>
    <w:tcPr>
      <w:tcBorders/>
      <w:shd w:val="clear" w:color="auto" w:fill="fde9d9"/>
    </w:tc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Words>7810</Words>
  <Pages>1</Pages>
  <Characters>43153</Characters>
  <Application>WPS Office</Application>
  <DocSecurity>0</DocSecurity>
  <Paragraphs>148</Paragraphs>
  <ScaleCrop>false</ScaleCrop>
  <LinksUpToDate>false</LinksUpToDate>
  <CharactersWithSpaces>50819</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2013-12-23T23:15:00Z</dcterms:created>
  <dc:creator>python-docx</dc:creator>
  <dc:description>generated by python-docx</dc:description>
  <lastModifiedBy>2211133C</lastModifiedBy>
  <dcterms:modified xsi:type="dcterms:W3CDTF">2026-06-02T22:33:23Z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a678fff7f438491ca03a2d388c85b068_22</vt:lpwstr>
  </property>
</Properties>
</file>